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A1" w:rsidRDefault="002078A1" w:rsidP="002078A1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 w:rsidR="006B450F">
        <w:rPr>
          <w:sz w:val="28"/>
          <w:szCs w:val="28"/>
          <w:lang w:val="uk-UA"/>
        </w:rPr>
        <w:t>2</w:t>
      </w:r>
    </w:p>
    <w:p w:rsidR="002078A1" w:rsidRDefault="002078A1" w:rsidP="002078A1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2078A1" w:rsidRDefault="002078A1" w:rsidP="002078A1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наказом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</w:t>
      </w:r>
    </w:p>
    <w:p w:rsidR="002078A1" w:rsidRDefault="002078A1" w:rsidP="002078A1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B32F54">
        <w:rPr>
          <w:sz w:val="28"/>
          <w:szCs w:val="28"/>
          <w:lang w:val="uk-UA"/>
        </w:rPr>
        <w:t>02 травня</w:t>
      </w:r>
      <w:r>
        <w:rPr>
          <w:sz w:val="28"/>
          <w:szCs w:val="28"/>
          <w:lang w:val="uk-UA"/>
        </w:rPr>
        <w:t xml:space="preserve"> 201</w:t>
      </w:r>
      <w:r w:rsidR="00B32F54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 №</w:t>
      </w:r>
      <w:r w:rsidR="00B32F54">
        <w:rPr>
          <w:sz w:val="28"/>
          <w:szCs w:val="28"/>
          <w:lang w:val="uk-UA"/>
        </w:rPr>
        <w:t>129</w:t>
      </w:r>
      <w:r>
        <w:rPr>
          <w:sz w:val="28"/>
          <w:szCs w:val="28"/>
          <w:lang w:val="uk-UA"/>
        </w:rPr>
        <w:t>-к</w:t>
      </w:r>
    </w:p>
    <w:p w:rsidR="002078A1" w:rsidRDefault="002078A1" w:rsidP="002078A1">
      <w:pPr>
        <w:jc w:val="center"/>
        <w:rPr>
          <w:sz w:val="28"/>
          <w:szCs w:val="28"/>
          <w:lang w:val="uk-UA"/>
        </w:rPr>
      </w:pPr>
    </w:p>
    <w:p w:rsidR="002078A1" w:rsidRDefault="002078A1" w:rsidP="002078A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УМОВИ</w:t>
      </w:r>
    </w:p>
    <w:p w:rsidR="002078A1" w:rsidRDefault="002078A1" w:rsidP="002078A1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проведення конкурсу на зайняття вакантної посади державної служби категорії «В» -  </w:t>
      </w:r>
      <w:r>
        <w:rPr>
          <w:sz w:val="28"/>
          <w:szCs w:val="28"/>
          <w:lang w:val="uk-UA"/>
        </w:rPr>
        <w:t xml:space="preserve">головного спеціаліста </w:t>
      </w:r>
      <w:r w:rsidR="00154A0F">
        <w:rPr>
          <w:sz w:val="28"/>
          <w:szCs w:val="28"/>
          <w:lang w:val="uk-UA"/>
        </w:rPr>
        <w:t xml:space="preserve">відділу </w:t>
      </w:r>
      <w:r w:rsidR="006B450F">
        <w:rPr>
          <w:sz w:val="28"/>
          <w:szCs w:val="28"/>
          <w:lang w:val="uk-UA"/>
        </w:rPr>
        <w:t>санітарно-епідеміологічного нагляду та організації розслідування спалахів управління державного нагляду за дотриманням санітарного законодавства</w:t>
      </w:r>
      <w:r>
        <w:rPr>
          <w:sz w:val="28"/>
          <w:szCs w:val="28"/>
          <w:lang w:val="uk-UA"/>
        </w:rPr>
        <w:t xml:space="preserve">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 </w:t>
      </w:r>
    </w:p>
    <w:p w:rsidR="002078A1" w:rsidRDefault="002078A1" w:rsidP="002078A1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2078A1" w:rsidTr="002078A1">
        <w:tc>
          <w:tcPr>
            <w:tcW w:w="9606" w:type="dxa"/>
            <w:gridSpan w:val="2"/>
          </w:tcPr>
          <w:p w:rsidR="002078A1" w:rsidRDefault="002078A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Загальні умови</w:t>
            </w:r>
          </w:p>
          <w:p w:rsidR="002078A1" w:rsidRDefault="002078A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78A1" w:rsidTr="002078A1">
        <w:tc>
          <w:tcPr>
            <w:tcW w:w="2802" w:type="dxa"/>
          </w:tcPr>
          <w:p w:rsidR="002078A1" w:rsidRDefault="002078A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Посадові обов’язки:</w:t>
            </w:r>
          </w:p>
          <w:p w:rsidR="002078A1" w:rsidRDefault="002078A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</w:tcPr>
          <w:p w:rsidR="0060778D" w:rsidRPr="00C46E4A" w:rsidRDefault="0060778D" w:rsidP="0060778D">
            <w:pPr>
              <w:ind w:right="-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Pr="00C46E4A">
              <w:rPr>
                <w:sz w:val="28"/>
                <w:szCs w:val="28"/>
                <w:lang w:val="uk-UA"/>
              </w:rPr>
              <w:t xml:space="preserve">Готує проекти документів з питань </w:t>
            </w:r>
            <w:r w:rsidRPr="0073506B">
              <w:rPr>
                <w:sz w:val="28"/>
                <w:szCs w:val="28"/>
                <w:lang w:val="uk-UA"/>
              </w:rPr>
              <w:t>санітарно-епідеміологічного нагляду та організації розслідування спалахів</w:t>
            </w:r>
            <w:r w:rsidRPr="00C46E4A">
              <w:rPr>
                <w:sz w:val="28"/>
                <w:szCs w:val="28"/>
                <w:lang w:val="uk-UA"/>
              </w:rPr>
              <w:t xml:space="preserve"> у межах наданих йому повноважень. </w:t>
            </w:r>
          </w:p>
          <w:p w:rsidR="0060778D" w:rsidRPr="00C46E4A" w:rsidRDefault="0060778D" w:rsidP="0060778D">
            <w:pPr>
              <w:jc w:val="both"/>
              <w:rPr>
                <w:sz w:val="28"/>
                <w:szCs w:val="28"/>
                <w:lang w:val="uk-UA"/>
              </w:rPr>
            </w:pPr>
            <w:r w:rsidRPr="00C46E4A">
              <w:rPr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 xml:space="preserve"> С</w:t>
            </w:r>
            <w:r w:rsidRPr="00C46E4A">
              <w:rPr>
                <w:sz w:val="28"/>
                <w:szCs w:val="28"/>
                <w:lang w:val="uk-UA"/>
              </w:rPr>
              <w:t>воєчасн</w:t>
            </w:r>
            <w:r>
              <w:rPr>
                <w:sz w:val="28"/>
                <w:szCs w:val="28"/>
                <w:lang w:val="uk-UA"/>
              </w:rPr>
              <w:t>о</w:t>
            </w:r>
            <w:r w:rsidRPr="00C46E4A">
              <w:rPr>
                <w:sz w:val="28"/>
                <w:szCs w:val="28"/>
                <w:lang w:val="uk-UA"/>
              </w:rPr>
              <w:t xml:space="preserve"> та якісн</w:t>
            </w:r>
            <w:r>
              <w:rPr>
                <w:sz w:val="28"/>
                <w:szCs w:val="28"/>
                <w:lang w:val="uk-UA"/>
              </w:rPr>
              <w:t>о</w:t>
            </w:r>
            <w:r w:rsidRPr="00C46E4A">
              <w:rPr>
                <w:sz w:val="28"/>
                <w:szCs w:val="28"/>
                <w:lang w:val="uk-UA"/>
              </w:rPr>
              <w:t xml:space="preserve"> розгляд</w:t>
            </w:r>
            <w:r>
              <w:rPr>
                <w:sz w:val="28"/>
                <w:szCs w:val="28"/>
                <w:lang w:val="uk-UA"/>
              </w:rPr>
              <w:t>ає</w:t>
            </w:r>
            <w:r w:rsidRPr="00C46E4A">
              <w:rPr>
                <w:sz w:val="28"/>
                <w:szCs w:val="28"/>
                <w:lang w:val="uk-UA"/>
              </w:rPr>
              <w:t xml:space="preserve"> звернен</w:t>
            </w:r>
            <w:r>
              <w:rPr>
                <w:sz w:val="28"/>
                <w:szCs w:val="28"/>
                <w:lang w:val="uk-UA"/>
              </w:rPr>
              <w:t>ня</w:t>
            </w:r>
            <w:r w:rsidRPr="00C46E4A">
              <w:rPr>
                <w:sz w:val="28"/>
                <w:szCs w:val="28"/>
                <w:lang w:val="uk-UA"/>
              </w:rPr>
              <w:t xml:space="preserve"> органів державної влади та органів місцевого самоврядування, громадських об'єднань, підприємств, установ, організацій, громадян, які стосуються питан</w:t>
            </w:r>
            <w:r>
              <w:rPr>
                <w:sz w:val="28"/>
                <w:szCs w:val="28"/>
                <w:lang w:val="uk-UA"/>
              </w:rPr>
              <w:t>ь</w:t>
            </w:r>
            <w:r w:rsidRPr="00C46E4A">
              <w:rPr>
                <w:sz w:val="28"/>
                <w:szCs w:val="28"/>
                <w:lang w:val="uk-UA"/>
              </w:rPr>
              <w:t xml:space="preserve"> </w:t>
            </w:r>
            <w:r w:rsidRPr="0073506B">
              <w:rPr>
                <w:sz w:val="28"/>
                <w:szCs w:val="28"/>
                <w:lang w:val="uk-UA"/>
              </w:rPr>
              <w:t>санітарно-епідеміологічного нагляду та організації розслідування спалахів</w:t>
            </w:r>
            <w:r>
              <w:rPr>
                <w:sz w:val="28"/>
                <w:szCs w:val="28"/>
                <w:lang w:val="uk-UA"/>
              </w:rPr>
              <w:t>,</w:t>
            </w:r>
            <w:r w:rsidRPr="00C46E4A">
              <w:rPr>
                <w:sz w:val="28"/>
                <w:szCs w:val="28"/>
                <w:lang w:val="uk-UA"/>
              </w:rPr>
              <w:t xml:space="preserve"> а також готує відповідні документи  за результатами їх розгляду. </w:t>
            </w:r>
          </w:p>
          <w:p w:rsidR="0060778D" w:rsidRPr="00C46E4A" w:rsidRDefault="0060778D" w:rsidP="0060778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C46E4A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Проводить</w:t>
            </w:r>
            <w:r w:rsidRPr="00C46E4A">
              <w:rPr>
                <w:sz w:val="28"/>
                <w:szCs w:val="28"/>
                <w:lang w:val="uk-UA"/>
              </w:rPr>
              <w:t xml:space="preserve"> роботу з документами у відповідності з чинним законодавством.</w:t>
            </w:r>
          </w:p>
          <w:p w:rsidR="0060778D" w:rsidRDefault="0060778D" w:rsidP="0060778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C46E4A">
              <w:rPr>
                <w:sz w:val="28"/>
                <w:szCs w:val="28"/>
                <w:lang w:val="uk-UA"/>
              </w:rPr>
              <w:t xml:space="preserve">. </w:t>
            </w:r>
            <w:r w:rsidRPr="00FF1F98">
              <w:rPr>
                <w:sz w:val="28"/>
                <w:szCs w:val="28"/>
                <w:lang w:val="uk-UA"/>
              </w:rPr>
              <w:t xml:space="preserve">В межах чинного законодавства та компетенції </w:t>
            </w:r>
            <w:r>
              <w:rPr>
                <w:sz w:val="28"/>
                <w:szCs w:val="28"/>
                <w:lang w:val="uk-UA"/>
              </w:rPr>
              <w:t>з</w:t>
            </w:r>
            <w:r w:rsidRPr="00C46E4A">
              <w:rPr>
                <w:sz w:val="28"/>
                <w:szCs w:val="28"/>
                <w:lang w:val="uk-UA"/>
              </w:rPr>
              <w:t>дійснює державний санітарно – епідеміологічний нагляд та контроль за дотриманням вимог санітарного законодавства органами виконавчої влади, місцевого самоврядування, підприємствами, установами, організаціями незалежно від форми їх власності, фізичними особами та громадянами,</w:t>
            </w:r>
            <w:r w:rsidRPr="002B05A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іншими юридичними особами,</w:t>
            </w:r>
            <w:r w:rsidRPr="00C46E4A">
              <w:rPr>
                <w:sz w:val="28"/>
                <w:szCs w:val="28"/>
                <w:lang w:val="uk-UA"/>
              </w:rPr>
              <w:t xml:space="preserve"> виконання ними санітарних та протиепідемічних (профілактичних) заходів на підвідомчій території.</w:t>
            </w:r>
          </w:p>
          <w:p w:rsidR="0060778D" w:rsidRDefault="0060778D" w:rsidP="0060778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5. </w:t>
            </w:r>
            <w:r w:rsidRPr="00FF1F98">
              <w:rPr>
                <w:sz w:val="28"/>
                <w:szCs w:val="28"/>
                <w:lang w:val="uk-UA"/>
              </w:rPr>
              <w:t>В межах чинного законодавства</w:t>
            </w:r>
            <w:r>
              <w:rPr>
                <w:sz w:val="28"/>
                <w:szCs w:val="28"/>
                <w:lang w:val="uk-UA"/>
              </w:rPr>
              <w:t xml:space="preserve"> забезпечує проведення профілактичних і протиепідемічних заходів щодо охорони, в межах  компетенції, території області від проникнення </w:t>
            </w:r>
            <w:proofErr w:type="spellStart"/>
            <w:r>
              <w:rPr>
                <w:sz w:val="28"/>
                <w:szCs w:val="28"/>
                <w:lang w:val="uk-UA"/>
              </w:rPr>
              <w:t>хвороб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людей.</w:t>
            </w:r>
          </w:p>
          <w:p w:rsidR="0060778D" w:rsidRPr="00C46E4A" w:rsidRDefault="0060778D" w:rsidP="0060778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6. В межах чинного законодавства здійснює державний санітарно-епідеміологічний контроль </w:t>
            </w:r>
            <w:r>
              <w:rPr>
                <w:sz w:val="28"/>
                <w:szCs w:val="28"/>
                <w:lang w:val="uk-UA"/>
              </w:rPr>
              <w:lastRenderedPageBreak/>
              <w:t>вантажів на митницях призначень.</w:t>
            </w:r>
          </w:p>
          <w:p w:rsidR="0060778D" w:rsidRDefault="0060778D" w:rsidP="0060778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7. </w:t>
            </w:r>
            <w:r w:rsidRPr="00FF1F98">
              <w:rPr>
                <w:sz w:val="28"/>
                <w:szCs w:val="28"/>
                <w:lang w:val="uk-UA"/>
              </w:rPr>
              <w:t>В межах чинного законодавства та компетенції</w:t>
            </w:r>
            <w:r>
              <w:rPr>
                <w:sz w:val="28"/>
                <w:szCs w:val="28"/>
                <w:lang w:val="uk-UA"/>
              </w:rPr>
              <w:t>,</w:t>
            </w:r>
            <w:r w:rsidRPr="00FF1F9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бере участь в </w:t>
            </w:r>
            <w:r w:rsidRPr="00FF1F98">
              <w:rPr>
                <w:sz w:val="28"/>
                <w:szCs w:val="28"/>
                <w:lang w:val="uk-UA"/>
              </w:rPr>
              <w:t>організ</w:t>
            </w:r>
            <w:r>
              <w:rPr>
                <w:sz w:val="28"/>
                <w:szCs w:val="28"/>
                <w:lang w:val="uk-UA"/>
              </w:rPr>
              <w:t xml:space="preserve">ації та проведенні санітарно-епідеміологічних розслідувань, спрямованих на виявлення причин та умов що призводять до виникнення та поширення інфекційних </w:t>
            </w:r>
            <w:proofErr w:type="spellStart"/>
            <w:r>
              <w:rPr>
                <w:sz w:val="28"/>
                <w:szCs w:val="28"/>
                <w:lang w:val="uk-UA"/>
              </w:rPr>
              <w:t>хвороб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у тому числі через харчові продукти, групових та індивідуальних харчових отруєнь, масових неінфекційних захворювань, та вживає заходів щодо їх усунення, відповідно до законодавства.  </w:t>
            </w:r>
          </w:p>
          <w:p w:rsidR="0060778D" w:rsidRPr="00C46E4A" w:rsidRDefault="0060778D" w:rsidP="0060778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 Здійснює, у межах чинного законодавства та компетенції, контроль за усуненням причин і умов виникнення та поширення інфекційних, масових неінфекційних захворювань, отруєнь.</w:t>
            </w:r>
          </w:p>
          <w:p w:rsidR="0060778D" w:rsidRPr="00C46E4A" w:rsidRDefault="0060778D" w:rsidP="0060778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Pr="00C46E4A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За результатами перевірок, при</w:t>
            </w:r>
            <w:r w:rsidRPr="00C46E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виявленні </w:t>
            </w:r>
            <w:r w:rsidRPr="00C46E4A">
              <w:rPr>
                <w:sz w:val="28"/>
                <w:szCs w:val="28"/>
                <w:lang w:val="uk-UA"/>
              </w:rPr>
              <w:t xml:space="preserve">порушень вимог санітарного законодавства </w:t>
            </w:r>
            <w:r>
              <w:rPr>
                <w:sz w:val="28"/>
                <w:szCs w:val="28"/>
                <w:lang w:val="uk-UA"/>
              </w:rPr>
              <w:t>вживає заходи реагування, відповідно до законодавства</w:t>
            </w:r>
            <w:r w:rsidRPr="00C46E4A">
              <w:rPr>
                <w:sz w:val="28"/>
                <w:szCs w:val="28"/>
                <w:lang w:val="uk-UA"/>
              </w:rPr>
              <w:t xml:space="preserve">. </w:t>
            </w:r>
          </w:p>
          <w:p w:rsidR="0060778D" w:rsidRDefault="0060778D" w:rsidP="0060778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C46E4A">
              <w:rPr>
                <w:sz w:val="28"/>
                <w:szCs w:val="28"/>
                <w:lang w:val="uk-UA"/>
              </w:rPr>
              <w:t xml:space="preserve">. Готує проекти </w:t>
            </w:r>
            <w:r>
              <w:rPr>
                <w:sz w:val="28"/>
                <w:szCs w:val="28"/>
                <w:lang w:val="uk-UA"/>
              </w:rPr>
              <w:t>розпорядчих документів: п</w:t>
            </w:r>
            <w:r w:rsidRPr="00C46E4A">
              <w:rPr>
                <w:sz w:val="28"/>
                <w:szCs w:val="28"/>
                <w:lang w:val="uk-UA"/>
              </w:rPr>
              <w:t>останов, наказів з основної діяльності, висновків, приписів з питань усунення або обмеження шкідливого впливу факторів середовища життєдіяльності на стан здоров’я і життя людини, контролює їх виконання.</w:t>
            </w:r>
          </w:p>
          <w:p w:rsidR="0060778D" w:rsidRPr="00C46E4A" w:rsidRDefault="0060778D" w:rsidP="0060778D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За дорученням </w:t>
            </w:r>
            <w:r>
              <w:rPr>
                <w:bCs/>
                <w:sz w:val="28"/>
                <w:szCs w:val="28"/>
              </w:rPr>
              <w:t xml:space="preserve">начальника </w:t>
            </w:r>
            <w:r w:rsidRPr="0073506B">
              <w:rPr>
                <w:sz w:val="28"/>
                <w:szCs w:val="28"/>
              </w:rPr>
              <w:t>відділу</w:t>
            </w:r>
            <w:r>
              <w:rPr>
                <w:sz w:val="28"/>
                <w:szCs w:val="28"/>
              </w:rPr>
              <w:t>, начальника</w:t>
            </w:r>
            <w:r w:rsidRPr="0073506B">
              <w:rPr>
                <w:sz w:val="28"/>
                <w:szCs w:val="28"/>
              </w:rPr>
              <w:t xml:space="preserve"> управління державного нагляду за дотриманням санітарного законодавства</w:t>
            </w:r>
            <w:r>
              <w:rPr>
                <w:sz w:val="28"/>
                <w:szCs w:val="28"/>
              </w:rPr>
              <w:t xml:space="preserve"> Головного управління </w:t>
            </w:r>
            <w:proofErr w:type="spellStart"/>
            <w:r>
              <w:rPr>
                <w:sz w:val="28"/>
                <w:szCs w:val="28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</w:rPr>
              <w:t xml:space="preserve"> в Хмельницькій області та його заступника, в межах повноважень здійснює організаційно-методичний нагляд </w:t>
            </w:r>
            <w:r w:rsidRPr="00650E74">
              <w:rPr>
                <w:sz w:val="28"/>
                <w:szCs w:val="28"/>
              </w:rPr>
              <w:t xml:space="preserve">за діяльністю територіальних управлінь </w:t>
            </w:r>
            <w:proofErr w:type="spellStart"/>
            <w:r w:rsidRPr="00650E74">
              <w:rPr>
                <w:sz w:val="28"/>
                <w:szCs w:val="28"/>
              </w:rPr>
              <w:t>Держпродспоживслужби</w:t>
            </w:r>
            <w:proofErr w:type="spellEnd"/>
            <w:r w:rsidRPr="00650E74">
              <w:rPr>
                <w:sz w:val="28"/>
                <w:szCs w:val="28"/>
              </w:rPr>
              <w:t xml:space="preserve"> в Хмельницькій області, в частині проведення ними державного нагляду (контролю) за дотриманням санітарного законодавства.</w:t>
            </w:r>
          </w:p>
          <w:p w:rsidR="0060778D" w:rsidRDefault="0060778D" w:rsidP="0060778D">
            <w:pPr>
              <w:pStyle w:val="2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4A0E68">
              <w:rPr>
                <w:sz w:val="28"/>
                <w:szCs w:val="28"/>
              </w:rPr>
              <w:t xml:space="preserve">. Надає </w:t>
            </w:r>
            <w:proofErr w:type="spellStart"/>
            <w:r>
              <w:rPr>
                <w:sz w:val="28"/>
                <w:szCs w:val="28"/>
              </w:rPr>
              <w:t>організаціно</w:t>
            </w:r>
            <w:proofErr w:type="spellEnd"/>
            <w:r>
              <w:rPr>
                <w:sz w:val="28"/>
                <w:szCs w:val="28"/>
              </w:rPr>
              <w:t xml:space="preserve">-методичну та </w:t>
            </w:r>
            <w:r w:rsidRPr="004A0E68">
              <w:rPr>
                <w:sz w:val="28"/>
                <w:szCs w:val="28"/>
              </w:rPr>
              <w:t xml:space="preserve">практичну допомогу керівникам та спеціалістам територіальних управлінь </w:t>
            </w:r>
            <w:proofErr w:type="spellStart"/>
            <w:r w:rsidRPr="004A0E68">
              <w:rPr>
                <w:sz w:val="28"/>
                <w:szCs w:val="28"/>
              </w:rPr>
              <w:t>Держпродспоживслужби</w:t>
            </w:r>
            <w:proofErr w:type="spellEnd"/>
            <w:r w:rsidRPr="004A0E68">
              <w:rPr>
                <w:sz w:val="28"/>
                <w:szCs w:val="28"/>
              </w:rPr>
              <w:t xml:space="preserve"> в Хмельницькій області з питань державного санітарно-епідеміологічного нагляду (контролю) за дотриманням санітарного законодавства та організації розслідування спалахів.</w:t>
            </w:r>
          </w:p>
          <w:p w:rsidR="0060778D" w:rsidRPr="004A0E68" w:rsidRDefault="0060778D" w:rsidP="0060778D">
            <w:pPr>
              <w:pStyle w:val="2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Проводить санітарно-освітню роботу серед населення.</w:t>
            </w:r>
          </w:p>
          <w:p w:rsidR="0060778D" w:rsidRPr="004A0E68" w:rsidRDefault="0060778D" w:rsidP="0060778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Pr="004A0E68">
              <w:rPr>
                <w:sz w:val="28"/>
                <w:szCs w:val="28"/>
                <w:lang w:val="uk-UA"/>
              </w:rPr>
              <w:t>. Забезпечує збереження державної таємниці та службової інформації</w:t>
            </w:r>
          </w:p>
          <w:p w:rsidR="002078A1" w:rsidRPr="001475EC" w:rsidRDefault="0060778D" w:rsidP="00FC5D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Pr="00C46E4A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46E4A">
              <w:rPr>
                <w:sz w:val="28"/>
                <w:szCs w:val="28"/>
                <w:lang w:val="uk-UA"/>
              </w:rPr>
              <w:t>До</w:t>
            </w:r>
            <w:r w:rsidR="00FC5DB4">
              <w:rPr>
                <w:sz w:val="28"/>
                <w:szCs w:val="28"/>
                <w:lang w:val="uk-UA"/>
              </w:rPr>
              <w:t>тримується правил внутрішнього службового</w:t>
            </w:r>
            <w:r w:rsidRPr="00C46E4A">
              <w:rPr>
                <w:sz w:val="28"/>
                <w:szCs w:val="28"/>
                <w:lang w:val="uk-UA"/>
              </w:rPr>
              <w:t xml:space="preserve"> розпорядку.</w:t>
            </w:r>
          </w:p>
        </w:tc>
      </w:tr>
    </w:tbl>
    <w:p w:rsidR="002078A1" w:rsidRDefault="002078A1" w:rsidP="002078A1"/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2078A1" w:rsidTr="002078A1">
        <w:tc>
          <w:tcPr>
            <w:tcW w:w="2802" w:type="dxa"/>
            <w:hideMark/>
          </w:tcPr>
          <w:p w:rsidR="002078A1" w:rsidRDefault="002078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Умови оплати праці:</w:t>
            </w:r>
          </w:p>
        </w:tc>
        <w:tc>
          <w:tcPr>
            <w:tcW w:w="6804" w:type="dxa"/>
          </w:tcPr>
          <w:p w:rsidR="00516843" w:rsidRDefault="00516843" w:rsidP="00516843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Відповідно до статей 50, 52 Закону України «Про державну службу» та постанови Кабінету Міністрів України від 18.01.2017 </w:t>
            </w:r>
          </w:p>
          <w:p w:rsidR="00516843" w:rsidRDefault="00516843" w:rsidP="00516843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15 «Питання оплати праці працівників державних органів» (в редакції постанови КМУ </w:t>
            </w:r>
            <w:r w:rsidRPr="003F3B76">
              <w:rPr>
                <w:rFonts w:ascii="Times New Roman" w:hAnsi="Times New Roman"/>
                <w:sz w:val="28"/>
                <w:szCs w:val="28"/>
              </w:rPr>
              <w:t>від 25 січня 2018 року №24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078A1" w:rsidRDefault="00516843" w:rsidP="0051684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Посадовий</w:t>
            </w:r>
            <w:proofErr w:type="spellEnd"/>
            <w:r>
              <w:rPr>
                <w:sz w:val="28"/>
                <w:szCs w:val="28"/>
              </w:rPr>
              <w:t xml:space="preserve"> оклад: </w:t>
            </w:r>
            <w:r>
              <w:rPr>
                <w:sz w:val="28"/>
                <w:szCs w:val="28"/>
                <w:lang w:val="uk-UA"/>
              </w:rPr>
              <w:t>4800</w:t>
            </w:r>
            <w:r>
              <w:rPr>
                <w:sz w:val="28"/>
                <w:szCs w:val="28"/>
              </w:rPr>
              <w:t xml:space="preserve"> грн</w:t>
            </w:r>
            <w:r>
              <w:t>.</w:t>
            </w:r>
          </w:p>
        </w:tc>
      </w:tr>
      <w:tr w:rsidR="002078A1" w:rsidTr="002078A1">
        <w:tc>
          <w:tcPr>
            <w:tcW w:w="2802" w:type="dxa"/>
          </w:tcPr>
          <w:p w:rsidR="002078A1" w:rsidRDefault="002078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  <w:p w:rsidR="002078A1" w:rsidRDefault="002078A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hideMark/>
          </w:tcPr>
          <w:p w:rsidR="002078A1" w:rsidRDefault="002078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Безстрокове призначення на посаду</w:t>
            </w: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Перелік документів, необхідних для участі в конкурсі, та строк їх подання:</w:t>
            </w:r>
          </w:p>
        </w:tc>
        <w:tc>
          <w:tcPr>
            <w:tcW w:w="6804" w:type="dxa"/>
          </w:tcPr>
          <w:p w:rsidR="002078A1" w:rsidRDefault="002078A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>1) копію паспорта громадянина України;</w:t>
            </w:r>
          </w:p>
          <w:p w:rsidR="002078A1" w:rsidRDefault="002078A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>2) письмову заяву про участь у конкурсі із зазначенням основних мотивів для зайняття посади за формою згідно з додатком 2, до якої додається резюме у довільній формі;</w:t>
            </w:r>
          </w:p>
          <w:p w:rsidR="002078A1" w:rsidRDefault="002078A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>3) письмову заяву, в якій повідомляє про те, що до неї не застосовуються заборони, визначені</w:t>
            </w:r>
            <w:r>
              <w:rPr>
                <w:rStyle w:val="apple-converted-space"/>
                <w:color w:val="2A2928"/>
                <w:sz w:val="28"/>
                <w:szCs w:val="28"/>
              </w:rPr>
              <w:t> </w:t>
            </w:r>
            <w:hyperlink r:id="rId8" w:tgtFrame="_top" w:history="1">
              <w:r w:rsidRPr="00FB6693">
                <w:rPr>
                  <w:rStyle w:val="a3"/>
                  <w:color w:val="auto"/>
                  <w:sz w:val="28"/>
                  <w:szCs w:val="28"/>
                  <w:u w:val="none"/>
                </w:rPr>
                <w:t>частиною третьою</w:t>
              </w:r>
            </w:hyperlink>
            <w:r w:rsidRPr="00FB6693">
              <w:rPr>
                <w:rStyle w:val="apple-converted-space"/>
                <w:sz w:val="28"/>
                <w:szCs w:val="28"/>
              </w:rPr>
              <w:t> </w:t>
            </w:r>
            <w:r w:rsidRPr="00FB6693">
              <w:rPr>
                <w:sz w:val="28"/>
                <w:szCs w:val="28"/>
              </w:rPr>
              <w:t>або</w:t>
            </w:r>
            <w:r w:rsidRPr="00FB6693">
              <w:rPr>
                <w:rStyle w:val="apple-converted-space"/>
                <w:sz w:val="28"/>
                <w:szCs w:val="28"/>
              </w:rPr>
              <w:t> </w:t>
            </w:r>
            <w:hyperlink r:id="rId9" w:tgtFrame="_top" w:history="1">
              <w:r w:rsidRPr="00FB6693">
                <w:rPr>
                  <w:rStyle w:val="a3"/>
                  <w:color w:val="auto"/>
                  <w:sz w:val="28"/>
                  <w:szCs w:val="28"/>
                  <w:u w:val="none"/>
                </w:rPr>
                <w:t>четвертою статті 1 Закону України "Про очищення влади"</w:t>
              </w:r>
            </w:hyperlink>
            <w:r>
              <w:rPr>
                <w:color w:val="2A2928"/>
                <w:sz w:val="28"/>
                <w:szCs w:val="28"/>
              </w:rPr>
              <w:t>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2078A1" w:rsidRDefault="002078A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>4) копію (копії) документа (документів) про освіту;</w:t>
            </w:r>
          </w:p>
          <w:p w:rsidR="002078A1" w:rsidRDefault="002078A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>5) 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 посвідчення, а оригінал обов'язково пред'являється до проходження тестування);</w:t>
            </w:r>
          </w:p>
          <w:p w:rsidR="002078A1" w:rsidRDefault="002078A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>6) заповнену особову картку встановленого зразка;</w:t>
            </w:r>
          </w:p>
          <w:p w:rsidR="002078A1" w:rsidRDefault="002078A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>7) декларацію особи, уповноваженої на виконання функцій держави або місцевого самоврядування, за минулий рік.</w:t>
            </w:r>
          </w:p>
          <w:p w:rsidR="002078A1" w:rsidRDefault="002078A1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Документи приймаються до </w:t>
            </w:r>
            <w:r w:rsidR="00516843">
              <w:rPr>
                <w:sz w:val="28"/>
                <w:szCs w:val="28"/>
                <w:lang w:val="uk-UA"/>
              </w:rPr>
              <w:t>16</w:t>
            </w:r>
            <w:r w:rsidR="00FB6693">
              <w:rPr>
                <w:sz w:val="28"/>
                <w:szCs w:val="28"/>
                <w:lang w:val="uk-UA"/>
              </w:rPr>
              <w:t xml:space="preserve"> год.</w:t>
            </w:r>
            <w:r w:rsidR="00516843">
              <w:rPr>
                <w:sz w:val="28"/>
                <w:szCs w:val="28"/>
                <w:lang w:val="uk-UA"/>
              </w:rPr>
              <w:t>15</w:t>
            </w:r>
            <w:r>
              <w:rPr>
                <w:sz w:val="28"/>
                <w:szCs w:val="28"/>
                <w:lang w:val="uk-UA"/>
              </w:rPr>
              <w:t xml:space="preserve"> хв. </w:t>
            </w:r>
            <w:r w:rsidR="00AC0D27">
              <w:rPr>
                <w:sz w:val="28"/>
                <w:szCs w:val="28"/>
                <w:lang w:val="uk-UA"/>
              </w:rPr>
              <w:t>18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C0D27">
              <w:rPr>
                <w:sz w:val="28"/>
                <w:szCs w:val="28"/>
                <w:lang w:val="uk-UA"/>
              </w:rPr>
              <w:t>травня</w:t>
            </w:r>
            <w:r>
              <w:rPr>
                <w:sz w:val="28"/>
                <w:szCs w:val="28"/>
                <w:lang w:val="uk-UA"/>
              </w:rPr>
              <w:t xml:space="preserve"> 201</w:t>
            </w:r>
            <w:r w:rsidR="00AC0D27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 xml:space="preserve"> року</w:t>
            </w:r>
          </w:p>
          <w:p w:rsidR="002078A1" w:rsidRDefault="002078A1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Місце</w:t>
            </w:r>
            <w:proofErr w:type="spellEnd"/>
            <w:r>
              <w:rPr>
                <w:sz w:val="28"/>
                <w:szCs w:val="28"/>
              </w:rPr>
              <w:t xml:space="preserve">, час та дата початку </w:t>
            </w:r>
            <w:proofErr w:type="spellStart"/>
            <w:r>
              <w:rPr>
                <w:sz w:val="28"/>
                <w:szCs w:val="28"/>
              </w:rPr>
              <w:t>проведення</w:t>
            </w:r>
            <w:proofErr w:type="spellEnd"/>
            <w:r>
              <w:rPr>
                <w:sz w:val="28"/>
                <w:szCs w:val="28"/>
              </w:rPr>
              <w:t xml:space="preserve"> конкурсу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804" w:type="dxa"/>
            <w:hideMark/>
          </w:tcPr>
          <w:p w:rsidR="002078A1" w:rsidRDefault="00AC0D27" w:rsidP="00AC0D27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 травня</w:t>
            </w:r>
            <w:r w:rsidR="002078A1">
              <w:rPr>
                <w:sz w:val="28"/>
                <w:szCs w:val="28"/>
                <w:lang w:val="uk-UA"/>
              </w:rPr>
              <w:t xml:space="preserve"> 201</w:t>
            </w:r>
            <w:r w:rsidR="008B4FBF">
              <w:rPr>
                <w:sz w:val="28"/>
                <w:szCs w:val="28"/>
                <w:lang w:val="uk-UA"/>
              </w:rPr>
              <w:t>8</w:t>
            </w:r>
            <w:r w:rsidR="002078A1">
              <w:rPr>
                <w:sz w:val="28"/>
                <w:szCs w:val="28"/>
                <w:lang w:val="uk-UA"/>
              </w:rPr>
              <w:t xml:space="preserve"> року о 1</w:t>
            </w:r>
            <w:r w:rsidR="008B4FBF">
              <w:rPr>
                <w:sz w:val="28"/>
                <w:szCs w:val="28"/>
                <w:lang w:val="uk-UA"/>
              </w:rPr>
              <w:t>0</w:t>
            </w:r>
            <w:r w:rsidR="002078A1">
              <w:rPr>
                <w:sz w:val="28"/>
                <w:szCs w:val="28"/>
                <w:lang w:val="uk-UA"/>
              </w:rPr>
              <w:t xml:space="preserve">:00 год. за </w:t>
            </w:r>
            <w:proofErr w:type="spellStart"/>
            <w:r w:rsidR="002078A1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2078A1">
              <w:rPr>
                <w:sz w:val="28"/>
                <w:szCs w:val="28"/>
                <w:lang w:val="uk-UA"/>
              </w:rPr>
              <w:t>: вул. Шевченка, 53, м. Хмельницький, 29000</w:t>
            </w:r>
          </w:p>
        </w:tc>
      </w:tr>
      <w:tr w:rsidR="002078A1" w:rsidRPr="00F87CB6" w:rsidTr="002078A1">
        <w:tc>
          <w:tcPr>
            <w:tcW w:w="2802" w:type="dxa"/>
            <w:hideMark/>
          </w:tcPr>
          <w:p w:rsidR="002078A1" w:rsidRDefault="002078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Прізвище, ім’я та по батькові, номер телефону та адреса </w:t>
            </w:r>
            <w:r>
              <w:rPr>
                <w:sz w:val="28"/>
                <w:szCs w:val="28"/>
                <w:lang w:val="uk-UA"/>
              </w:rPr>
              <w:lastRenderedPageBreak/>
              <w:t>електронної пошти особи, яка надає додаткову інформацію з питань проведення конкурсу:</w:t>
            </w:r>
          </w:p>
        </w:tc>
        <w:tc>
          <w:tcPr>
            <w:tcW w:w="6804" w:type="dxa"/>
            <w:hideMark/>
          </w:tcPr>
          <w:p w:rsidR="002078A1" w:rsidRDefault="00FB6693">
            <w:pPr>
              <w:pStyle w:val="a4"/>
              <w:ind w:left="-108"/>
              <w:jc w:val="both"/>
              <w:rPr>
                <w:strike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Галишук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Михайлівна</w:t>
            </w:r>
            <w:r w:rsidR="002078A1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2078A1">
              <w:rPr>
                <w:sz w:val="28"/>
                <w:szCs w:val="28"/>
                <w:lang w:val="uk-UA"/>
              </w:rPr>
              <w:t>тел</w:t>
            </w:r>
            <w:proofErr w:type="spellEnd"/>
            <w:r w:rsidR="002078A1">
              <w:rPr>
                <w:sz w:val="28"/>
                <w:szCs w:val="28"/>
                <w:lang w:val="uk-UA"/>
              </w:rPr>
              <w:t>. (0382) 65-60-53</w:t>
            </w:r>
          </w:p>
          <w:p w:rsidR="002078A1" w:rsidRDefault="002078A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  <w:lang w:val="uk-UA"/>
              </w:rPr>
              <w:t xml:space="preserve">: </w:t>
            </w:r>
            <w:hyperlink r:id="rId10" w:history="1">
              <w:r w:rsidR="00F87CB6" w:rsidRPr="00A03F15">
                <w:rPr>
                  <w:rStyle w:val="a3"/>
                  <w:rFonts w:eastAsiaTheme="minorHAnsi"/>
                  <w:sz w:val="28"/>
                  <w:szCs w:val="28"/>
                  <w:lang w:val="uk-UA" w:eastAsia="en-US"/>
                </w:rPr>
                <w:t>hr2@consumerhm.gov.ua</w:t>
              </w:r>
            </w:hyperlink>
            <w:r w:rsidR="00F87CB6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2078A1" w:rsidTr="002078A1">
        <w:tc>
          <w:tcPr>
            <w:tcW w:w="9606" w:type="dxa"/>
            <w:gridSpan w:val="2"/>
          </w:tcPr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Кваліфікаційні вимоги</w:t>
            </w:r>
          </w:p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078A1" w:rsidRPr="00B32F54" w:rsidTr="002078A1">
        <w:tc>
          <w:tcPr>
            <w:tcW w:w="2802" w:type="dxa"/>
            <w:hideMark/>
          </w:tcPr>
          <w:p w:rsidR="002078A1" w:rsidRDefault="002078A1" w:rsidP="004D48A6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804" w:type="dxa"/>
            <w:hideMark/>
          </w:tcPr>
          <w:p w:rsidR="002078A1" w:rsidRDefault="002078A1" w:rsidP="00CA7A83">
            <w:pPr>
              <w:pStyle w:val="a4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Вища освіта </w:t>
            </w:r>
            <w:r>
              <w:rPr>
                <w:bCs/>
                <w:sz w:val="28"/>
                <w:szCs w:val="28"/>
                <w:lang w:val="uk-UA"/>
              </w:rPr>
              <w:t>за освітньо-кваліфікаційним рівнем</w:t>
            </w:r>
            <w:r>
              <w:rPr>
                <w:sz w:val="28"/>
                <w:szCs w:val="28"/>
                <w:lang w:val="uk-UA"/>
              </w:rPr>
              <w:t xml:space="preserve"> не нижче мол</w:t>
            </w:r>
            <w:r w:rsidR="00F87CB6">
              <w:rPr>
                <w:sz w:val="28"/>
                <w:szCs w:val="28"/>
                <w:lang w:val="uk-UA"/>
              </w:rPr>
              <w:t xml:space="preserve">одшого бакалавра або бакалавра </w:t>
            </w:r>
            <w:r w:rsidR="00C42A66">
              <w:rPr>
                <w:sz w:val="28"/>
                <w:szCs w:val="28"/>
                <w:lang w:val="uk-UA"/>
              </w:rPr>
              <w:t xml:space="preserve"> </w:t>
            </w:r>
            <w:r w:rsidR="00D77D08">
              <w:rPr>
                <w:sz w:val="28"/>
                <w:szCs w:val="28"/>
                <w:lang w:val="uk-UA"/>
              </w:rPr>
              <w:t xml:space="preserve">за </w:t>
            </w:r>
            <w:r w:rsidR="00CA7A83">
              <w:rPr>
                <w:sz w:val="28"/>
                <w:szCs w:val="28"/>
                <w:lang w:val="uk-UA"/>
              </w:rPr>
              <w:t>напрямом підготовки «Медицина»</w:t>
            </w: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 w:rsidP="004D48A6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6804" w:type="dxa"/>
            <w:hideMark/>
          </w:tcPr>
          <w:p w:rsidR="002078A1" w:rsidRDefault="002078A1">
            <w:pPr>
              <w:pStyle w:val="a4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вимог</w:t>
            </w: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 w:rsidP="004D48A6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6804" w:type="dxa"/>
            <w:hideMark/>
          </w:tcPr>
          <w:p w:rsidR="002078A1" w:rsidRDefault="002078A1">
            <w:pPr>
              <w:pStyle w:val="a4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2078A1" w:rsidTr="002078A1">
        <w:tc>
          <w:tcPr>
            <w:tcW w:w="9606" w:type="dxa"/>
            <w:gridSpan w:val="2"/>
          </w:tcPr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078A1" w:rsidRDefault="00F87CB6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Вимоги до компетентності</w:t>
            </w:r>
          </w:p>
          <w:p w:rsidR="002078A1" w:rsidRDefault="002078A1">
            <w:pPr>
              <w:pStyle w:val="a4"/>
              <w:ind w:left="-108"/>
              <w:rPr>
                <w:b/>
                <w:sz w:val="28"/>
                <w:szCs w:val="28"/>
                <w:lang w:val="uk-UA"/>
              </w:rPr>
            </w:pP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>
            <w:pPr>
              <w:pStyle w:val="a4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</w:tcPr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1.Професійні знання</w:t>
            </w:r>
          </w:p>
        </w:tc>
        <w:tc>
          <w:tcPr>
            <w:tcW w:w="6804" w:type="dxa"/>
            <w:hideMark/>
          </w:tcPr>
          <w:p w:rsidR="002078A1" w:rsidRDefault="002078A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Відповідно до посади з урахуванням вимог спеціальних законів</w:t>
            </w: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Якісне виконання поставлених завдань </w:t>
            </w:r>
          </w:p>
        </w:tc>
        <w:tc>
          <w:tcPr>
            <w:tcW w:w="6804" w:type="dxa"/>
          </w:tcPr>
          <w:p w:rsidR="002078A1" w:rsidRDefault="002078A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Вміння працювати  з інформацією; вміння надавати пропозиції, їх аргументувати та презентувати </w:t>
            </w:r>
          </w:p>
          <w:p w:rsidR="002078A1" w:rsidRDefault="002078A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3.Командна робота та взаємодія </w:t>
            </w:r>
          </w:p>
        </w:tc>
        <w:tc>
          <w:tcPr>
            <w:tcW w:w="6804" w:type="dxa"/>
            <w:hideMark/>
          </w:tcPr>
          <w:p w:rsidR="002078A1" w:rsidRDefault="002078A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Вміння працювати в команді; вміння надавати зворотній зв’язок</w:t>
            </w: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 w:rsidP="004D48A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Сприйняття змін</w:t>
            </w:r>
          </w:p>
        </w:tc>
        <w:tc>
          <w:tcPr>
            <w:tcW w:w="6804" w:type="dxa"/>
            <w:hideMark/>
          </w:tcPr>
          <w:p w:rsidR="002078A1" w:rsidRDefault="002078A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Здатність приймати зміни та змінюватись</w:t>
            </w: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 w:rsidP="004D48A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Технічні вміння</w:t>
            </w:r>
          </w:p>
        </w:tc>
        <w:tc>
          <w:tcPr>
            <w:tcW w:w="6804" w:type="dxa"/>
            <w:hideMark/>
          </w:tcPr>
          <w:p w:rsidR="002078A1" w:rsidRDefault="002078A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Вміння використовувати комп’ютерне обладнання та програмне забезпечення, використовувати офісну техніку</w:t>
            </w:r>
          </w:p>
        </w:tc>
      </w:tr>
      <w:tr w:rsidR="002078A1" w:rsidRPr="00712672" w:rsidTr="002078A1">
        <w:tc>
          <w:tcPr>
            <w:tcW w:w="2802" w:type="dxa"/>
            <w:hideMark/>
          </w:tcPr>
          <w:p w:rsidR="002078A1" w:rsidRDefault="002078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6.Особистісні компетенції</w:t>
            </w:r>
          </w:p>
        </w:tc>
        <w:tc>
          <w:tcPr>
            <w:tcW w:w="6804" w:type="dxa"/>
            <w:hideMark/>
          </w:tcPr>
          <w:p w:rsidR="002078A1" w:rsidRDefault="002078A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Системність і самостійність в роботі; наполегливість; креативність та ініціативність; відповідальність.</w:t>
            </w:r>
          </w:p>
        </w:tc>
      </w:tr>
      <w:tr w:rsidR="002078A1" w:rsidTr="002078A1">
        <w:tc>
          <w:tcPr>
            <w:tcW w:w="9606" w:type="dxa"/>
            <w:gridSpan w:val="2"/>
          </w:tcPr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>
            <w:pPr>
              <w:pStyle w:val="a4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  <w:hideMark/>
          </w:tcPr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2078A1" w:rsidRPr="00B32F54" w:rsidTr="002078A1">
        <w:tc>
          <w:tcPr>
            <w:tcW w:w="2802" w:type="dxa"/>
            <w:hideMark/>
          </w:tcPr>
          <w:p w:rsidR="002078A1" w:rsidRDefault="002078A1" w:rsidP="004D48A6">
            <w:pPr>
              <w:pStyle w:val="a4"/>
              <w:numPr>
                <w:ilvl w:val="0"/>
                <w:numId w:val="3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Знання законодавства </w:t>
            </w:r>
          </w:p>
        </w:tc>
        <w:tc>
          <w:tcPr>
            <w:tcW w:w="6804" w:type="dxa"/>
            <w:hideMark/>
          </w:tcPr>
          <w:p w:rsidR="002078A1" w:rsidRDefault="002078A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Конституція України;</w:t>
            </w:r>
          </w:p>
          <w:p w:rsidR="002078A1" w:rsidRDefault="002078A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державну службу»;</w:t>
            </w:r>
          </w:p>
          <w:p w:rsidR="002078A1" w:rsidRDefault="002078A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запобігання корупції».</w:t>
            </w:r>
          </w:p>
          <w:p w:rsidR="002078A1" w:rsidRDefault="002078A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78A1" w:rsidRPr="00AC0D27" w:rsidTr="002078A1">
        <w:tc>
          <w:tcPr>
            <w:tcW w:w="2802" w:type="dxa"/>
            <w:hideMark/>
          </w:tcPr>
          <w:p w:rsidR="002078A1" w:rsidRDefault="002078A1" w:rsidP="004D48A6">
            <w:pPr>
              <w:pStyle w:val="a4"/>
              <w:numPr>
                <w:ilvl w:val="0"/>
                <w:numId w:val="3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Знання спеціального законодавства, що </w:t>
            </w:r>
            <w:r>
              <w:rPr>
                <w:sz w:val="28"/>
                <w:szCs w:val="28"/>
                <w:lang w:val="uk-UA"/>
              </w:rPr>
              <w:lastRenderedPageBreak/>
              <w:t>пов’язане із завданнями  та змістом роботи державного службовця відповідно до посадової інструкції (положення)</w:t>
            </w:r>
          </w:p>
        </w:tc>
        <w:tc>
          <w:tcPr>
            <w:tcW w:w="6804" w:type="dxa"/>
          </w:tcPr>
          <w:p w:rsidR="00EC5F7C" w:rsidRDefault="00AC0D27" w:rsidP="007126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Закони України: «Про Кабінет Міністрів України», «Про центральні органи виконавчої влади», «Про адміністративні послуги», «Про місцеві державні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адміністрації», «Про звернення громадян», «Про доступ до публічної інформації», «Про засади запобігання та протидії дискримінації в Україні», «Про забезпечення рівних прав та можливостей жінок і чоловіків», Конвенції про права осіб з інвалідністю, Бюджетного кодексу України та Податкового </w:t>
            </w:r>
            <w:r w:rsidR="00712672">
              <w:rPr>
                <w:sz w:val="28"/>
                <w:szCs w:val="28"/>
                <w:lang w:val="uk-UA"/>
              </w:rPr>
              <w:t xml:space="preserve">і Митного </w:t>
            </w:r>
            <w:r>
              <w:rPr>
                <w:sz w:val="28"/>
                <w:szCs w:val="28"/>
                <w:lang w:val="uk-UA"/>
              </w:rPr>
              <w:t>кодекс</w:t>
            </w:r>
            <w:r w:rsidR="00712672">
              <w:rPr>
                <w:sz w:val="28"/>
                <w:szCs w:val="28"/>
                <w:lang w:val="uk-UA"/>
              </w:rPr>
              <w:t>ів</w:t>
            </w:r>
            <w:r>
              <w:rPr>
                <w:sz w:val="28"/>
                <w:szCs w:val="28"/>
                <w:lang w:val="uk-UA"/>
              </w:rPr>
              <w:t xml:space="preserve"> України.</w:t>
            </w:r>
            <w:r w:rsidR="00712672">
              <w:rPr>
                <w:sz w:val="28"/>
                <w:szCs w:val="28"/>
                <w:lang w:val="uk-UA"/>
              </w:rPr>
              <w:t xml:space="preserve"> </w:t>
            </w:r>
          </w:p>
          <w:p w:rsidR="00712672" w:rsidRDefault="00712672" w:rsidP="007126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-Закон України «Про забезпечення санітарного та епідемічного благополуччя населення»,</w:t>
            </w:r>
          </w:p>
          <w:p w:rsidR="00712672" w:rsidRDefault="00712672" w:rsidP="007126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Закон України «Про основні принципи та вимоги до безпечності та якості харчових продуктів, </w:t>
            </w:r>
          </w:p>
          <w:p w:rsidR="00712672" w:rsidRDefault="00712672" w:rsidP="007126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</w:rPr>
              <w:t xml:space="preserve"> Закон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  «Про </w:t>
            </w:r>
            <w:proofErr w:type="spellStart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пестициди</w:t>
            </w:r>
            <w:proofErr w:type="spellEnd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 і </w:t>
            </w:r>
            <w:proofErr w:type="spellStart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агрохімікати</w:t>
            </w:r>
            <w:proofErr w:type="spellEnd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»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,</w:t>
            </w:r>
          </w:p>
          <w:p w:rsidR="00712672" w:rsidRDefault="00712672" w:rsidP="007126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-</w:t>
            </w:r>
            <w:r>
              <w:rPr>
                <w:sz w:val="28"/>
                <w:szCs w:val="28"/>
              </w:rPr>
              <w:t xml:space="preserve"> Закон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«Про </w:t>
            </w:r>
            <w:proofErr w:type="spellStart"/>
            <w:r>
              <w:rPr>
                <w:sz w:val="28"/>
                <w:szCs w:val="28"/>
              </w:rPr>
              <w:t>гуманітарну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допомогу</w:t>
            </w:r>
            <w:proofErr w:type="spellEnd"/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712672" w:rsidRDefault="00712672" w:rsidP="007126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-Постанова Кабінету Міністрів України «Деякі питання здійснення державного контролю товарів, що переміщуються через митний кордон України» від 05.10.2011 року №1031,</w:t>
            </w:r>
            <w:r>
              <w:rPr>
                <w:bCs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</w:p>
          <w:p w:rsidR="00712672" w:rsidRDefault="00712672" w:rsidP="007126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val="uk-UA"/>
              </w:rPr>
              <w:t>-Постанова</w:t>
            </w:r>
            <w:r>
              <w:rPr>
                <w:sz w:val="28"/>
                <w:szCs w:val="28"/>
                <w:lang w:val="uk-UA"/>
              </w:rPr>
              <w:t xml:space="preserve"> Кабінету Міністрів України</w:t>
            </w:r>
            <w:r>
              <w:rPr>
                <w:bCs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 від 25 травня 2016 р. № 364</w:t>
            </w:r>
            <w:r>
              <w:rPr>
                <w:sz w:val="28"/>
                <w:szCs w:val="28"/>
                <w:lang w:eastAsia="uk-UA"/>
              </w:rPr>
              <w:t> </w:t>
            </w:r>
            <w:r>
              <w:rPr>
                <w:sz w:val="28"/>
                <w:szCs w:val="28"/>
                <w:lang w:val="uk-UA" w:eastAsia="uk-UA"/>
              </w:rPr>
              <w:t>«</w:t>
            </w:r>
            <w:r>
              <w:rPr>
                <w:bCs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 Деякі питання реалізації принципу </w:t>
            </w:r>
            <w:r>
              <w:rPr>
                <w:bCs/>
                <w:sz w:val="28"/>
                <w:szCs w:val="28"/>
                <w:bdr w:val="none" w:sz="0" w:space="0" w:color="auto" w:frame="1"/>
                <w:lang w:val="uk-UA"/>
              </w:rPr>
              <w:t>«єдиного вікна»</w:t>
            </w:r>
            <w:r>
              <w:rPr>
                <w:bCs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 під час здійснення митного, санітарно-епідеміологічного, ветеринарно-санітарного, </w:t>
            </w:r>
            <w:proofErr w:type="spellStart"/>
            <w:r>
              <w:rPr>
                <w:bCs/>
                <w:sz w:val="28"/>
                <w:szCs w:val="28"/>
                <w:bdr w:val="none" w:sz="0" w:space="0" w:color="auto" w:frame="1"/>
                <w:lang w:val="uk-UA" w:eastAsia="uk-UA"/>
              </w:rPr>
              <w:t>фітосанітарного</w:t>
            </w:r>
            <w:proofErr w:type="spellEnd"/>
            <w:r>
              <w:rPr>
                <w:bCs/>
                <w:sz w:val="28"/>
                <w:szCs w:val="28"/>
                <w:bdr w:val="none" w:sz="0" w:space="0" w:color="auto" w:frame="1"/>
                <w:lang w:val="uk-UA" w:eastAsia="uk-UA"/>
              </w:rPr>
              <w:t>, екологічного, радіологічного та інших видів державного контролю»</w:t>
            </w:r>
            <w:r>
              <w:rPr>
                <w:bCs/>
                <w:sz w:val="28"/>
                <w:szCs w:val="28"/>
                <w:bdr w:val="none" w:sz="0" w:space="0" w:color="auto" w:frame="1"/>
                <w:lang w:val="uk-UA"/>
              </w:rPr>
              <w:t>,</w:t>
            </w:r>
          </w:p>
          <w:p w:rsidR="00712672" w:rsidRDefault="00712672" w:rsidP="007126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-Постанова КМУ</w:t>
            </w: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  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від 31 жовтня 2007 р.№1280 «Про затвердження Порядку відбору зразків  продукції для визначення її якісних   показників та форми </w:t>
            </w:r>
            <w:proofErr w:type="spellStart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акта</w:t>
            </w:r>
            <w:proofErr w:type="spellEnd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 відбору зразків продукції»,</w:t>
            </w:r>
          </w:p>
          <w:p w:rsidR="00712672" w:rsidRDefault="00712672" w:rsidP="007126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-Постанова КМУ від 13 січня 2016 р.№ 9</w:t>
            </w: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«Про внесення змін до постанови Кабінету Міністрів України від 25 березня 2013 р. № 241»Порядок взаємодії центральних і місцевих органів виконавчої влади та Національного банку щодо реалізації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  <w:hyperlink r:id="rId11" w:tgtFrame="_blank" w:history="1">
              <w:r>
                <w:rPr>
                  <w:rStyle w:val="a3"/>
                  <w:bCs/>
                  <w:color w:val="auto"/>
                  <w:sz w:val="28"/>
                  <w:szCs w:val="28"/>
                  <w:bdr w:val="none" w:sz="0" w:space="0" w:color="auto" w:frame="1"/>
                  <w:lang w:val="uk-UA" w:eastAsia="uk-UA"/>
                </w:rPr>
                <w:t>Закону України</w:t>
              </w:r>
            </w:hyperlink>
            <w:r>
              <w:rPr>
                <w:bCs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«Про гуманітарну допомогу»,</w:t>
            </w:r>
          </w:p>
          <w:p w:rsidR="00712672" w:rsidRDefault="00712672" w:rsidP="007126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-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Постанова КМУ</w:t>
            </w: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від</w:t>
            </w:r>
            <w:proofErr w:type="spellEnd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 22 </w:t>
            </w:r>
            <w:proofErr w:type="spellStart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серпня</w:t>
            </w:r>
            <w:proofErr w:type="spellEnd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 2011 № 893 «Про </w:t>
            </w:r>
            <w:proofErr w:type="spellStart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затвердження</w:t>
            </w:r>
            <w:proofErr w:type="spellEnd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 Правил  </w:t>
            </w:r>
            <w:proofErr w:type="spellStart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санітарної</w:t>
            </w:r>
            <w:proofErr w:type="spellEnd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охорони</w:t>
            </w:r>
            <w:proofErr w:type="spellEnd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території</w:t>
            </w:r>
            <w:proofErr w:type="spellEnd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України</w:t>
            </w:r>
            <w:proofErr w:type="spellEnd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»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,</w:t>
            </w:r>
          </w:p>
          <w:p w:rsidR="00712672" w:rsidRDefault="00712672" w:rsidP="007126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-Розпорядження Кабінету міністрів України «Про організацію роботи органів, що здійснюють контроль товарів і транспортних засобів за принципом «єдиного офісу» під час переміщення їх через митний кордон України» від 01.03.2007 р.№78-р, </w:t>
            </w:r>
          </w:p>
          <w:p w:rsidR="00712672" w:rsidRDefault="00712672" w:rsidP="007126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«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Международные медико-санитарные правила»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(2005 р.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),</w:t>
            </w:r>
          </w:p>
          <w:p w:rsidR="00712672" w:rsidRDefault="00712672" w:rsidP="007126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bCs/>
                <w:sz w:val="28"/>
                <w:szCs w:val="28"/>
                <w:bdr w:val="none" w:sz="0" w:space="0" w:color="auto" w:frame="1"/>
                <w:lang w:val="uk-UA"/>
              </w:rPr>
              <w:t>Н</w:t>
            </w:r>
            <w:r>
              <w:rPr>
                <w:bCs/>
                <w:sz w:val="28"/>
                <w:szCs w:val="28"/>
                <w:bdr w:val="none" w:sz="0" w:space="0" w:color="auto" w:frame="1"/>
                <w:lang w:val="uk-UA" w:eastAsia="uk-UA"/>
              </w:rPr>
              <w:t>аказ   Міністерства Фінансів України</w:t>
            </w:r>
            <w:r>
              <w:rPr>
                <w:b/>
                <w:bCs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від 25.07.2016 </w:t>
            </w:r>
            <w:r>
              <w:rPr>
                <w:sz w:val="28"/>
                <w:szCs w:val="28"/>
                <w:lang w:eastAsia="uk-UA"/>
              </w:rPr>
              <w:t> </w:t>
            </w:r>
            <w:r>
              <w:rPr>
                <w:sz w:val="28"/>
                <w:szCs w:val="28"/>
                <w:lang w:val="uk-UA" w:eastAsia="uk-UA"/>
              </w:rPr>
              <w:t>№ 657 «</w:t>
            </w:r>
            <w:r>
              <w:rPr>
                <w:bCs/>
                <w:sz w:val="28"/>
                <w:szCs w:val="28"/>
                <w:lang w:val="uk-UA" w:eastAsia="uk-UA"/>
              </w:rPr>
              <w:t xml:space="preserve">Про затвердження переліків даних, </w:t>
            </w:r>
            <w:r>
              <w:rPr>
                <w:bCs/>
                <w:sz w:val="28"/>
                <w:szCs w:val="28"/>
                <w:lang w:val="uk-UA" w:eastAsia="uk-UA"/>
              </w:rPr>
              <w:lastRenderedPageBreak/>
              <w:t>необхідних для функціонування інформаційно-телекомунікаційної системи органів доходів і зборів»,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:rsidR="00712672" w:rsidRDefault="00712672" w:rsidP="007126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Наказ </w:t>
            </w:r>
            <w:proofErr w:type="spellStart"/>
            <w:r>
              <w:rPr>
                <w:sz w:val="28"/>
                <w:szCs w:val="28"/>
              </w:rPr>
              <w:t>Міністерство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охорони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здоров’я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09.11.2010  </w:t>
            </w:r>
            <w:r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</w:rPr>
              <w:t xml:space="preserve"> 971 </w:t>
            </w:r>
            <w:proofErr w:type="spellStart"/>
            <w:r>
              <w:rPr>
                <w:sz w:val="28"/>
                <w:szCs w:val="28"/>
              </w:rPr>
              <w:t>Перелік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харчових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продуктів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здійснюється</w:t>
            </w:r>
            <w:proofErr w:type="spellEnd"/>
            <w:r>
              <w:rPr>
                <w:sz w:val="28"/>
                <w:szCs w:val="28"/>
              </w:rPr>
              <w:t xml:space="preserve"> контроль </w:t>
            </w:r>
            <w:proofErr w:type="spellStart"/>
            <w:r>
              <w:rPr>
                <w:sz w:val="28"/>
                <w:szCs w:val="28"/>
              </w:rPr>
              <w:t>вмісту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генетично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модифікованих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організмів</w:t>
            </w:r>
            <w:proofErr w:type="spellEnd"/>
            <w:r>
              <w:rPr>
                <w:sz w:val="28"/>
                <w:szCs w:val="28"/>
              </w:rPr>
              <w:t>»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</w:p>
          <w:p w:rsidR="00712672" w:rsidRDefault="00712672" w:rsidP="007126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 Наказ</w:t>
            </w: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Державний Комітет України з питань </w:t>
            </w:r>
            <w:proofErr w:type="gramStart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техн</w:t>
            </w:r>
            <w:proofErr w:type="gramEnd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ічного регулювання та споживчої політики від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28.10.2010  № 487 «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 Про затвердження Технічного регламенту  щодо правил маркування харчових продуктів»,</w:t>
            </w:r>
          </w:p>
          <w:p w:rsidR="00712672" w:rsidRDefault="00712672" w:rsidP="007126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/>
              </w:rPr>
              <w:t>-Наказ  Адміністрації державної прикордонної служби України, Державної митної служби України, Міністерства транспорту та зв’язку України, Міністерства  охорони навколишнього природного середовища України, Міністерства охорони здоров’я, Міністерства культури і туризму України, Міністерства аграрної політики України від</w:t>
            </w:r>
            <w:r>
              <w:rPr>
                <w:sz w:val="28"/>
                <w:szCs w:val="28"/>
                <w:lang w:val="uk-UA" w:eastAsia="uk-UA"/>
              </w:rPr>
              <w:t xml:space="preserve"> 16.05.2005 №370/396/208/173/219/294/205</w:t>
            </w:r>
            <w:r>
              <w:rPr>
                <w:bCs/>
                <w:sz w:val="28"/>
                <w:szCs w:val="28"/>
                <w:lang w:val="uk-UA" w:eastAsia="uk-UA"/>
              </w:rPr>
              <w:t xml:space="preserve"> «Про затвердження та введення в дію Порядку виготовлення представницьких карток   та забезпечення ними співробітників контрольних органів (служб), що функціонують у пунктах  пропуску через державний кордон (внутрішніх митницях, інших визначених законодавством України місцях для здійснення державних видів контролю під час перетинання державного кордону особами, транспортними засобами, вантажами (товарами)  та іншим майном)»</w:t>
            </w:r>
            <w:bookmarkStart w:id="0" w:name="o3"/>
            <w:bookmarkStart w:id="1" w:name="o4"/>
            <w:bookmarkEnd w:id="0"/>
            <w:bookmarkEnd w:id="1"/>
            <w:r>
              <w:rPr>
                <w:bCs/>
                <w:sz w:val="28"/>
                <w:szCs w:val="28"/>
                <w:lang w:val="uk-UA" w:eastAsia="uk-UA"/>
              </w:rPr>
              <w:t xml:space="preserve"> , </w:t>
            </w:r>
          </w:p>
          <w:p w:rsidR="00712672" w:rsidRDefault="00712672" w:rsidP="007126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Лист Державної служби України з питань безпечності харчових продуктів та захисту споживачів від 29.04.2016 р №15-1-2-6/1623, з  метою належного здійснення державного  санітарно-епідеміологічного контролю на митних постах Хмельницької митниці ДФС, </w:t>
            </w:r>
          </w:p>
          <w:p w:rsidR="00712672" w:rsidRDefault="00712672" w:rsidP="007126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 Лист-роз’яснення Державної служби з питань безпечності харчових продуктів та прав споживачів України «Щодо здійснення контролю харчових продуктів»,</w:t>
            </w:r>
          </w:p>
          <w:p w:rsidR="00EC5F7C" w:rsidRDefault="00712672" w:rsidP="00712672">
            <w:pPr>
              <w:ind w:right="374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-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Методичні</w:t>
            </w:r>
            <w:proofErr w:type="spellEnd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рекомендації</w:t>
            </w:r>
            <w:proofErr w:type="spellEnd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 «</w:t>
            </w:r>
            <w:proofErr w:type="spellStart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Щодо</w:t>
            </w:r>
            <w:proofErr w:type="spellEnd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оформлення</w:t>
            </w:r>
            <w:proofErr w:type="spellEnd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сертифіката</w:t>
            </w:r>
            <w:proofErr w:type="spellEnd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здоров’я</w:t>
            </w:r>
            <w:proofErr w:type="spellEnd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 при </w:t>
            </w:r>
            <w:proofErr w:type="spellStart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експорті</w:t>
            </w:r>
            <w:proofErr w:type="spellEnd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харчових</w:t>
            </w:r>
            <w:proofErr w:type="spellEnd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продуктів</w:t>
            </w:r>
            <w:proofErr w:type="spellEnd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нетваринного</w:t>
            </w:r>
            <w:proofErr w:type="spellEnd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походження</w:t>
            </w:r>
            <w:proofErr w:type="spellEnd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»</w:t>
            </w:r>
            <w:r w:rsidR="00535DC4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</w:p>
          <w:p w:rsidR="002078A1" w:rsidRDefault="00EC5F7C" w:rsidP="00712672">
            <w:pPr>
              <w:ind w:right="374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- </w:t>
            </w:r>
            <w:bookmarkStart w:id="2" w:name="_GoBack"/>
            <w:bookmarkEnd w:id="2"/>
            <w:r w:rsidR="00535DC4">
              <w:rPr>
                <w:color w:val="000000"/>
                <w:sz w:val="28"/>
                <w:szCs w:val="28"/>
                <w:lang w:val="uk-UA"/>
              </w:rPr>
              <w:t xml:space="preserve">Положення про Головне управління </w:t>
            </w:r>
            <w:proofErr w:type="spellStart"/>
            <w:r w:rsidR="00535DC4">
              <w:rPr>
                <w:color w:val="000000"/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 w:rsidR="00535DC4">
              <w:rPr>
                <w:color w:val="000000"/>
                <w:sz w:val="28"/>
                <w:szCs w:val="28"/>
                <w:lang w:val="uk-UA"/>
              </w:rPr>
              <w:t xml:space="preserve"> в Хмельницькій області.</w:t>
            </w:r>
          </w:p>
        </w:tc>
      </w:tr>
    </w:tbl>
    <w:p w:rsidR="002078A1" w:rsidRDefault="002078A1" w:rsidP="002078A1">
      <w:pPr>
        <w:tabs>
          <w:tab w:val="left" w:pos="68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* Відповідно до рішення Національного агентства з питань запобігання корупції від 10.06.2016 № 2 «Про початок роботи системи подання та оприлюднення декларацій осіб, </w:t>
      </w:r>
      <w:r>
        <w:rPr>
          <w:sz w:val="24"/>
          <w:szCs w:val="24"/>
          <w:lang w:val="uk-UA"/>
        </w:rPr>
        <w:lastRenderedPageBreak/>
        <w:t xml:space="preserve">уповноважених на виконання функцій держави або місцевого самоврядування», зареєстрованого в Міністерстві юстиції України 15.07.2016 за № 958/29088, з </w:t>
      </w:r>
      <w:r>
        <w:rPr>
          <w:b/>
          <w:sz w:val="24"/>
          <w:szCs w:val="24"/>
          <w:lang w:val="uk-UA"/>
        </w:rPr>
        <w:t>1 січня 2017 року</w:t>
      </w:r>
      <w:r>
        <w:rPr>
          <w:sz w:val="24"/>
          <w:szCs w:val="24"/>
          <w:lang w:val="uk-UA"/>
        </w:rPr>
        <w:t xml:space="preserve"> подання декларацій здійснюється згідно з Законом України «Про запобігання корупції» шляхом заповнення відповідних форм на офіційному веб-сайті Національного агентства з питань  запобігання корупції з використанням програмних засобів Єдиного державного реєстру декларацій осіб, уповноважених на виконання функцій держави або місцевого самоврядування.</w:t>
      </w:r>
    </w:p>
    <w:p w:rsidR="002078A1" w:rsidRDefault="002078A1" w:rsidP="002078A1">
      <w:pPr>
        <w:jc w:val="both"/>
        <w:rPr>
          <w:sz w:val="28"/>
          <w:szCs w:val="28"/>
          <w:lang w:val="uk-UA"/>
        </w:rPr>
      </w:pPr>
    </w:p>
    <w:p w:rsidR="002078A1" w:rsidRDefault="002078A1" w:rsidP="002078A1">
      <w:pPr>
        <w:rPr>
          <w:lang w:val="uk-UA"/>
        </w:rPr>
      </w:pPr>
    </w:p>
    <w:p w:rsidR="001B6C13" w:rsidRPr="002078A1" w:rsidRDefault="001B6C13">
      <w:pPr>
        <w:rPr>
          <w:lang w:val="uk-UA"/>
        </w:rPr>
      </w:pPr>
    </w:p>
    <w:sectPr w:rsidR="001B6C13" w:rsidRPr="002078A1" w:rsidSect="006C76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289" w:header="720" w:footer="720" w:gutter="170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E07" w:rsidRDefault="00442E07" w:rsidP="006C763B">
      <w:r>
        <w:separator/>
      </w:r>
    </w:p>
  </w:endnote>
  <w:endnote w:type="continuationSeparator" w:id="0">
    <w:p w:rsidR="00442E07" w:rsidRDefault="00442E07" w:rsidP="006C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3B" w:rsidRDefault="006C763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3B" w:rsidRDefault="006C763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3B" w:rsidRDefault="006C76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E07" w:rsidRDefault="00442E07" w:rsidP="006C763B">
      <w:r>
        <w:separator/>
      </w:r>
    </w:p>
  </w:footnote>
  <w:footnote w:type="continuationSeparator" w:id="0">
    <w:p w:rsidR="00442E07" w:rsidRDefault="00442E07" w:rsidP="006C7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3B" w:rsidRDefault="006C763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7576356"/>
      <w:docPartObj>
        <w:docPartGallery w:val="Page Numbers (Top of Page)"/>
        <w:docPartUnique/>
      </w:docPartObj>
    </w:sdtPr>
    <w:sdtEndPr/>
    <w:sdtContent>
      <w:p w:rsidR="006C763B" w:rsidRDefault="006C763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F7C">
          <w:rPr>
            <w:noProof/>
          </w:rPr>
          <w:t>6</w:t>
        </w:r>
        <w:r>
          <w:fldChar w:fldCharType="end"/>
        </w:r>
      </w:p>
    </w:sdtContent>
  </w:sdt>
  <w:p w:rsidR="006C763B" w:rsidRDefault="006C763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3B" w:rsidRDefault="006C76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D62EB4"/>
    <w:multiLevelType w:val="multilevel"/>
    <w:tmpl w:val="EA44BC4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2">
    <w:nsid w:val="26EF5957"/>
    <w:multiLevelType w:val="hybridMultilevel"/>
    <w:tmpl w:val="D488F1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2565E"/>
    <w:multiLevelType w:val="hybridMultilevel"/>
    <w:tmpl w:val="54943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F2CD5"/>
    <w:multiLevelType w:val="hybridMultilevel"/>
    <w:tmpl w:val="63DC6C2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581815"/>
    <w:multiLevelType w:val="multilevel"/>
    <w:tmpl w:val="6C2AE5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DA"/>
    <w:rsid w:val="00052370"/>
    <w:rsid w:val="00104150"/>
    <w:rsid w:val="001179B4"/>
    <w:rsid w:val="001475EC"/>
    <w:rsid w:val="00154A0F"/>
    <w:rsid w:val="001B6C13"/>
    <w:rsid w:val="002078A1"/>
    <w:rsid w:val="0022530C"/>
    <w:rsid w:val="0029217B"/>
    <w:rsid w:val="002A5122"/>
    <w:rsid w:val="003B44DB"/>
    <w:rsid w:val="003B61DA"/>
    <w:rsid w:val="00422752"/>
    <w:rsid w:val="00442E07"/>
    <w:rsid w:val="00500E46"/>
    <w:rsid w:val="00516843"/>
    <w:rsid w:val="00535DC4"/>
    <w:rsid w:val="0060778D"/>
    <w:rsid w:val="00687D64"/>
    <w:rsid w:val="006B450F"/>
    <w:rsid w:val="006C5A83"/>
    <w:rsid w:val="006C763B"/>
    <w:rsid w:val="00712672"/>
    <w:rsid w:val="00812FE3"/>
    <w:rsid w:val="00851157"/>
    <w:rsid w:val="008B4FBF"/>
    <w:rsid w:val="008C4E29"/>
    <w:rsid w:val="00902543"/>
    <w:rsid w:val="00A40E83"/>
    <w:rsid w:val="00AC0D27"/>
    <w:rsid w:val="00AD4164"/>
    <w:rsid w:val="00B12978"/>
    <w:rsid w:val="00B32F54"/>
    <w:rsid w:val="00BA7434"/>
    <w:rsid w:val="00C42A66"/>
    <w:rsid w:val="00CA7A83"/>
    <w:rsid w:val="00CE14C9"/>
    <w:rsid w:val="00D43D1F"/>
    <w:rsid w:val="00D77D08"/>
    <w:rsid w:val="00E23D38"/>
    <w:rsid w:val="00E35804"/>
    <w:rsid w:val="00EA2BF5"/>
    <w:rsid w:val="00EC5F7C"/>
    <w:rsid w:val="00F52EB3"/>
    <w:rsid w:val="00F65E39"/>
    <w:rsid w:val="00F87CB6"/>
    <w:rsid w:val="00FB6693"/>
    <w:rsid w:val="00FC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078A1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rsid w:val="002078A1"/>
    <w:rPr>
      <w:rFonts w:ascii="Times New Roman" w:hAnsi="Times New Roman" w:cs="Times New Roman" w:hint="default"/>
    </w:rPr>
  </w:style>
  <w:style w:type="character" w:customStyle="1" w:styleId="a5">
    <w:name w:val="Основной текст_"/>
    <w:basedOn w:val="a0"/>
    <w:link w:val="2"/>
    <w:rsid w:val="00CE14C9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spacing w:val="3"/>
      <w:sz w:val="25"/>
      <w:szCs w:val="25"/>
      <w:lang w:val="uk-UA" w:eastAsia="en-US"/>
    </w:rPr>
  </w:style>
  <w:style w:type="paragraph" w:customStyle="1" w:styleId="rvps14">
    <w:name w:val="rvps14"/>
    <w:basedOn w:val="a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C76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76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6C76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76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Normal (Web)"/>
    <w:basedOn w:val="a"/>
    <w:uiPriority w:val="99"/>
    <w:rsid w:val="00147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ий текст"/>
    <w:basedOn w:val="a"/>
    <w:rsid w:val="00516843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20">
    <w:name w:val="List 2"/>
    <w:basedOn w:val="a"/>
    <w:rsid w:val="0060778D"/>
    <w:pPr>
      <w:widowControl/>
      <w:autoSpaceDE/>
      <w:autoSpaceDN/>
      <w:adjustRightInd/>
      <w:ind w:left="566" w:hanging="283"/>
    </w:pPr>
    <w:rPr>
      <w:lang w:val="uk-UA"/>
    </w:rPr>
  </w:style>
  <w:style w:type="paragraph" w:styleId="ac">
    <w:name w:val="Body Text"/>
    <w:basedOn w:val="a"/>
    <w:link w:val="ad"/>
    <w:semiHidden/>
    <w:rsid w:val="0060778D"/>
    <w:pPr>
      <w:widowControl/>
      <w:autoSpaceDE/>
      <w:autoSpaceDN/>
      <w:adjustRightInd/>
      <w:spacing w:after="120"/>
    </w:pPr>
    <w:rPr>
      <w:lang w:val="uk-UA"/>
    </w:rPr>
  </w:style>
  <w:style w:type="character" w:customStyle="1" w:styleId="ad">
    <w:name w:val="Основной текст Знак"/>
    <w:basedOn w:val="a0"/>
    <w:link w:val="ac"/>
    <w:semiHidden/>
    <w:rsid w:val="006077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078A1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rsid w:val="002078A1"/>
    <w:rPr>
      <w:rFonts w:ascii="Times New Roman" w:hAnsi="Times New Roman" w:cs="Times New Roman" w:hint="default"/>
    </w:rPr>
  </w:style>
  <w:style w:type="character" w:customStyle="1" w:styleId="a5">
    <w:name w:val="Основной текст_"/>
    <w:basedOn w:val="a0"/>
    <w:link w:val="2"/>
    <w:rsid w:val="00CE14C9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spacing w:val="3"/>
      <w:sz w:val="25"/>
      <w:szCs w:val="25"/>
      <w:lang w:val="uk-UA" w:eastAsia="en-US"/>
    </w:rPr>
  </w:style>
  <w:style w:type="paragraph" w:customStyle="1" w:styleId="rvps14">
    <w:name w:val="rvps14"/>
    <w:basedOn w:val="a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C76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76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6C76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76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Normal (Web)"/>
    <w:basedOn w:val="a"/>
    <w:uiPriority w:val="99"/>
    <w:rsid w:val="00147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ий текст"/>
    <w:basedOn w:val="a"/>
    <w:rsid w:val="00516843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20">
    <w:name w:val="List 2"/>
    <w:basedOn w:val="a"/>
    <w:rsid w:val="0060778D"/>
    <w:pPr>
      <w:widowControl/>
      <w:autoSpaceDE/>
      <w:autoSpaceDN/>
      <w:adjustRightInd/>
      <w:ind w:left="566" w:hanging="283"/>
    </w:pPr>
    <w:rPr>
      <w:lang w:val="uk-UA"/>
    </w:rPr>
  </w:style>
  <w:style w:type="paragraph" w:styleId="ac">
    <w:name w:val="Body Text"/>
    <w:basedOn w:val="a"/>
    <w:link w:val="ad"/>
    <w:semiHidden/>
    <w:rsid w:val="0060778D"/>
    <w:pPr>
      <w:widowControl/>
      <w:autoSpaceDE/>
      <w:autoSpaceDN/>
      <w:adjustRightInd/>
      <w:spacing w:after="120"/>
    </w:pPr>
    <w:rPr>
      <w:lang w:val="uk-UA"/>
    </w:rPr>
  </w:style>
  <w:style w:type="character" w:customStyle="1" w:styleId="ad">
    <w:name w:val="Основной текст Знак"/>
    <w:basedOn w:val="a0"/>
    <w:link w:val="ac"/>
    <w:semiHidden/>
    <w:rsid w:val="006077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1682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kon2.rada.gov.ua/laws/show/1192-1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hr2@consumerhm.gov.u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T141682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7482</Words>
  <Characters>4265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2018-05-02T12:15:00Z</dcterms:created>
  <dcterms:modified xsi:type="dcterms:W3CDTF">2018-05-03T06:34:00Z</dcterms:modified>
</cp:coreProperties>
</file>