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3114A3">
        <w:rPr>
          <w:sz w:val="28"/>
          <w:szCs w:val="28"/>
          <w:lang w:val="uk-UA"/>
        </w:rPr>
        <w:t>1</w:t>
      </w:r>
      <w:r w:rsidR="00CA1185">
        <w:rPr>
          <w:sz w:val="28"/>
          <w:szCs w:val="28"/>
          <w:lang w:val="uk-UA"/>
        </w:rPr>
        <w:t>7</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CA1185" w:rsidRPr="00CA1185">
        <w:rPr>
          <w:sz w:val="28"/>
          <w:szCs w:val="28"/>
          <w:lang w:val="uk-UA"/>
        </w:rPr>
        <w:t>заступника</w:t>
      </w:r>
      <w:r w:rsidR="00CA1185">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proofErr w:type="spellStart"/>
      <w:r w:rsidR="00CA1185">
        <w:rPr>
          <w:sz w:val="28"/>
          <w:szCs w:val="28"/>
          <w:lang w:val="uk-UA"/>
        </w:rPr>
        <w:t>Старокостянтинівського</w:t>
      </w:r>
      <w:proofErr w:type="spellEnd"/>
      <w:r w:rsidR="008474E1">
        <w:rPr>
          <w:sz w:val="28"/>
          <w:szCs w:val="28"/>
          <w:lang w:val="uk-UA"/>
        </w:rPr>
        <w:t xml:space="preserve"> </w:t>
      </w:r>
      <w:r w:rsidR="00CA1185">
        <w:rPr>
          <w:sz w:val="28"/>
          <w:szCs w:val="28"/>
          <w:lang w:val="uk-UA"/>
        </w:rPr>
        <w:t>міськ</w:t>
      </w:r>
      <w:r w:rsidR="008474E1">
        <w:rPr>
          <w:sz w:val="28"/>
          <w:szCs w:val="28"/>
          <w:lang w:val="uk-UA"/>
        </w:rPr>
        <w:t>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314831">
              <w:rPr>
                <w:rFonts w:ascii="Times New Roman" w:hAnsi="Times New Roman"/>
                <w:sz w:val="28"/>
                <w:szCs w:val="28"/>
              </w:rPr>
              <w:t>2</w:t>
            </w:r>
            <w:bookmarkStart w:id="0" w:name="_GoBack"/>
            <w:bookmarkEnd w:id="0"/>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w:t>
            </w:r>
            <w:r>
              <w:rPr>
                <w:sz w:val="28"/>
                <w:szCs w:val="28"/>
                <w:lang w:val="uk-UA"/>
              </w:rPr>
              <w:lastRenderedPageBreak/>
              <w:t>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407127">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407127">
              <w:rPr>
                <w:sz w:val="28"/>
                <w:szCs w:val="28"/>
                <w:lang w:val="uk-UA"/>
              </w:rPr>
              <w:t>5</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xml:space="preserve">, </w:t>
            </w:r>
            <w:r w:rsidR="00416B71">
              <w:rPr>
                <w:sz w:val="28"/>
                <w:szCs w:val="28"/>
                <w:lang w:val="uk-UA"/>
              </w:rPr>
              <w:lastRenderedPageBreak/>
              <w:t>«Лікувальна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CA118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CA118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CA1185"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w:t>
            </w:r>
            <w:r>
              <w:rPr>
                <w:sz w:val="28"/>
                <w:szCs w:val="28"/>
                <w:lang w:val="uk-UA"/>
              </w:rPr>
              <w:lastRenderedPageBreak/>
              <w:t>інструкції (положення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 xml:space="preserve">Закон України «Про основні засади державного </w:t>
            </w:r>
            <w:r>
              <w:rPr>
                <w:sz w:val="28"/>
                <w:szCs w:val="28"/>
                <w:lang w:val="uk-UA"/>
              </w:rPr>
              <w:lastRenderedPageBreak/>
              <w:t>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9A71ED">
          <w:rPr>
            <w:noProof/>
          </w:rPr>
          <w:t>3</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223582"/>
    <w:rsid w:val="00251A42"/>
    <w:rsid w:val="00297C17"/>
    <w:rsid w:val="002B564F"/>
    <w:rsid w:val="002C5C44"/>
    <w:rsid w:val="003114A3"/>
    <w:rsid w:val="00314831"/>
    <w:rsid w:val="00342E04"/>
    <w:rsid w:val="00382885"/>
    <w:rsid w:val="003D4D0E"/>
    <w:rsid w:val="00407127"/>
    <w:rsid w:val="00416B71"/>
    <w:rsid w:val="0044039E"/>
    <w:rsid w:val="00453987"/>
    <w:rsid w:val="004D30D4"/>
    <w:rsid w:val="00502C6C"/>
    <w:rsid w:val="0057264E"/>
    <w:rsid w:val="00585FB1"/>
    <w:rsid w:val="005A197E"/>
    <w:rsid w:val="005D2262"/>
    <w:rsid w:val="00600287"/>
    <w:rsid w:val="006655A4"/>
    <w:rsid w:val="00666AD1"/>
    <w:rsid w:val="006E22C2"/>
    <w:rsid w:val="006F6DF7"/>
    <w:rsid w:val="00705F3A"/>
    <w:rsid w:val="00732006"/>
    <w:rsid w:val="007E71AB"/>
    <w:rsid w:val="00842664"/>
    <w:rsid w:val="008474E1"/>
    <w:rsid w:val="00866925"/>
    <w:rsid w:val="008C1956"/>
    <w:rsid w:val="008C4730"/>
    <w:rsid w:val="008C4E29"/>
    <w:rsid w:val="008F133C"/>
    <w:rsid w:val="008F3DE5"/>
    <w:rsid w:val="009022BC"/>
    <w:rsid w:val="009159C8"/>
    <w:rsid w:val="00980FB2"/>
    <w:rsid w:val="009A71ED"/>
    <w:rsid w:val="00A019E2"/>
    <w:rsid w:val="00A022FB"/>
    <w:rsid w:val="00A23ECE"/>
    <w:rsid w:val="00A27BB1"/>
    <w:rsid w:val="00A77C01"/>
    <w:rsid w:val="00A93EBA"/>
    <w:rsid w:val="00AC4991"/>
    <w:rsid w:val="00B12C8F"/>
    <w:rsid w:val="00B35ACF"/>
    <w:rsid w:val="00B8489B"/>
    <w:rsid w:val="00BF3CDD"/>
    <w:rsid w:val="00C774CC"/>
    <w:rsid w:val="00C9415D"/>
    <w:rsid w:val="00CA1185"/>
    <w:rsid w:val="00CC6D36"/>
    <w:rsid w:val="00D30BD6"/>
    <w:rsid w:val="00D6319C"/>
    <w:rsid w:val="00D67F7D"/>
    <w:rsid w:val="00DB383D"/>
    <w:rsid w:val="00DE0DED"/>
    <w:rsid w:val="00DF75D0"/>
    <w:rsid w:val="00E07361"/>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4308</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Nike Maynik</cp:lastModifiedBy>
  <cp:revision>6</cp:revision>
  <cp:lastPrinted>2018-11-09T15:15:00Z</cp:lastPrinted>
  <dcterms:created xsi:type="dcterms:W3CDTF">2018-12-27T19:58:00Z</dcterms:created>
  <dcterms:modified xsi:type="dcterms:W3CDTF">2018-12-27T20:00:00Z</dcterms:modified>
</cp:coreProperties>
</file>