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44249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42491">
        <w:rPr>
          <w:sz w:val="28"/>
          <w:szCs w:val="28"/>
          <w:lang w:val="uk-UA"/>
        </w:rPr>
        <w:t>4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5EB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442491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</w:t>
      </w:r>
      <w:r w:rsidR="00335E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442491">
        <w:rPr>
          <w:sz w:val="28"/>
          <w:szCs w:val="28"/>
          <w:lang w:val="uk-UA"/>
        </w:rPr>
        <w:t>37</w:t>
      </w:r>
      <w:r w:rsidR="00083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 </w:t>
      </w:r>
      <w:r w:rsidR="00442491">
        <w:rPr>
          <w:b/>
          <w:sz w:val="28"/>
          <w:szCs w:val="28"/>
          <w:lang w:val="uk-UA"/>
        </w:rPr>
        <w:t>з</w:t>
      </w:r>
      <w:r w:rsidR="00744A0A">
        <w:rPr>
          <w:sz w:val="28"/>
          <w:szCs w:val="28"/>
          <w:lang w:val="uk-UA"/>
        </w:rPr>
        <w:t>аступника начальника</w:t>
      </w:r>
      <w:r w:rsidR="005032A6">
        <w:rPr>
          <w:sz w:val="28"/>
          <w:szCs w:val="28"/>
          <w:lang w:val="uk-UA"/>
        </w:rPr>
        <w:t xml:space="preserve"> </w:t>
      </w:r>
      <w:r w:rsidR="00744A0A">
        <w:rPr>
          <w:sz w:val="28"/>
          <w:szCs w:val="28"/>
          <w:lang w:val="uk-UA"/>
        </w:rPr>
        <w:t xml:space="preserve">відділу 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F948CE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B85086" w:rsidRDefault="00B85086" w:rsidP="00B85086">
            <w:pPr>
              <w:shd w:val="clear" w:color="auto" w:fill="FFFFFF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1. З</w:t>
            </w:r>
            <w:r>
              <w:rPr>
                <w:sz w:val="28"/>
                <w:lang w:val="uk-UA"/>
              </w:rPr>
              <w:t xml:space="preserve">дійснює у межах повноважень, передбачених законодавством, державний нагляд 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B85086" w:rsidRDefault="00B85086" w:rsidP="00B85086">
            <w:pPr>
              <w:pStyle w:val="ad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Бере участь у розробці проектів наказів, розпоряджень, окремих положень комплексних державних програм з питань, що належать до компетенції Відділу. Готує рішення за напрямами діяльності Управління у межах наданих Відділу повноважень.</w:t>
            </w:r>
          </w:p>
          <w:p w:rsidR="00B85086" w:rsidRDefault="00B85086" w:rsidP="00B85086">
            <w:pPr>
              <w:pStyle w:val="ad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B85086" w:rsidRDefault="00B85086" w:rsidP="00B850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B85086" w:rsidRDefault="00B85086" w:rsidP="00B850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 Розробляє проект плану щорічного державного контролю та плани державного моніторингу відповідно до законодавства.</w:t>
            </w:r>
          </w:p>
          <w:p w:rsidR="00B85086" w:rsidRDefault="00B85086" w:rsidP="00B85086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6. 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B85086" w:rsidRDefault="00B85086" w:rsidP="00B850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B85086" w:rsidRDefault="00B85086" w:rsidP="00B85086">
            <w:pPr>
              <w:pStyle w:val="ab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8. </w:t>
            </w:r>
            <w:proofErr w:type="spellStart"/>
            <w:r>
              <w:rPr>
                <w:sz w:val="28"/>
                <w:szCs w:val="26"/>
              </w:rPr>
              <w:t>Приймає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проведенні</w:t>
            </w:r>
            <w:proofErr w:type="spellEnd"/>
            <w:r>
              <w:rPr>
                <w:sz w:val="28"/>
                <w:szCs w:val="26"/>
              </w:rPr>
              <w:t xml:space="preserve"> заходів державного </w:t>
            </w:r>
            <w:proofErr w:type="spellStart"/>
            <w:r>
              <w:rPr>
                <w:sz w:val="28"/>
                <w:szCs w:val="26"/>
              </w:rPr>
              <w:t>нагляду</w:t>
            </w:r>
            <w:proofErr w:type="spellEnd"/>
            <w:r>
              <w:rPr>
                <w:sz w:val="28"/>
                <w:szCs w:val="26"/>
              </w:rPr>
              <w:t xml:space="preserve">(контролю) з </w:t>
            </w:r>
            <w:proofErr w:type="spellStart"/>
            <w:r>
              <w:rPr>
                <w:sz w:val="28"/>
                <w:szCs w:val="26"/>
              </w:rPr>
              <w:t>питань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безпечності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харчових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продуктів</w:t>
            </w:r>
            <w:proofErr w:type="spellEnd"/>
            <w:r>
              <w:rPr>
                <w:sz w:val="28"/>
                <w:szCs w:val="26"/>
              </w:rPr>
              <w:t>.</w:t>
            </w:r>
          </w:p>
          <w:p w:rsidR="008741F0" w:rsidRDefault="00B85086" w:rsidP="008741F0">
            <w:pPr>
              <w:pStyle w:val="ab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/>
              </w:rPr>
              <w:t xml:space="preserve">9. 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EB2BE1" w:rsidRPr="00B85086" w:rsidRDefault="008741F0" w:rsidP="008741F0">
            <w:pPr>
              <w:pStyle w:val="a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/>
              </w:rPr>
              <w:t xml:space="preserve">10. </w:t>
            </w:r>
            <w:r w:rsidR="00B85086">
              <w:rPr>
                <w:sz w:val="28"/>
                <w:szCs w:val="28"/>
                <w:lang w:val="uk-UA"/>
              </w:rPr>
              <w:t xml:space="preserve">Готує документи і матеріали, необхідні для роботи Головного управління за завданням начальника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="00B85086">
              <w:rPr>
                <w:rStyle w:val="rvts0"/>
                <w:sz w:val="28"/>
                <w:szCs w:val="28"/>
                <w:lang w:val="uk-UA"/>
              </w:rPr>
              <w:t>.</w:t>
            </w:r>
            <w:r w:rsidR="00B85086" w:rsidRPr="00B85086">
              <w:rPr>
                <w:sz w:val="28"/>
                <w:lang w:val="uk-UA"/>
              </w:rPr>
              <w:t xml:space="preserve">          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744A0A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9F05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442491">
              <w:rPr>
                <w:rFonts w:ascii="Times New Roman" w:hAnsi="Times New Roman"/>
                <w:sz w:val="28"/>
                <w:szCs w:val="28"/>
                <w:lang w:eastAsia="en-US"/>
              </w:rPr>
              <w:t>6700</w:t>
            </w:r>
            <w:r w:rsidR="009F0557">
              <w:rPr>
                <w:rFonts w:ascii="Times New Roman" w:hAnsi="Times New Roman"/>
                <w:sz w:val="28"/>
                <w:szCs w:val="28"/>
                <w:lang w:eastAsia="en-US"/>
              </w:rPr>
              <w:t>,00 грн.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0" w:name="n1171"/>
            <w:bookmarkEnd w:id="0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" w:name="n1172"/>
            <w:bookmarkEnd w:id="1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2" w:name="n1173"/>
            <w:bookmarkEnd w:id="2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3" w:name="n1174"/>
            <w:bookmarkEnd w:id="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4" w:name="n1175"/>
            <w:bookmarkEnd w:id="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5" w:name="n1176"/>
            <w:bookmarkEnd w:id="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6" w:name="n1177"/>
            <w:bookmarkEnd w:id="6"/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EB2BE1" w:rsidRPr="000C720A" w:rsidRDefault="00EB2BE1" w:rsidP="000C720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ind w:firstLine="492"/>
              <w:jc w:val="both"/>
              <w:rPr>
                <w:color w:val="2A2928"/>
                <w:sz w:val="28"/>
                <w:szCs w:val="28"/>
                <w:lang w:val="ru-RU" w:eastAsia="en-US"/>
              </w:rPr>
            </w:pPr>
          </w:p>
          <w:p w:rsidR="00EB2BE1" w:rsidRDefault="00BA5F96" w:rsidP="00BA5F96">
            <w:pPr>
              <w:ind w:left="130"/>
              <w:rPr>
                <w:sz w:val="28"/>
                <w:szCs w:val="28"/>
                <w:lang w:eastAsia="en-US"/>
              </w:rPr>
            </w:pPr>
            <w:proofErr w:type="spellStart"/>
            <w:r w:rsidRPr="00BA5F96">
              <w:rPr>
                <w:sz w:val="28"/>
                <w:szCs w:val="28"/>
              </w:rPr>
              <w:t>Інформація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подається</w:t>
            </w:r>
            <w:proofErr w:type="spellEnd"/>
            <w:r w:rsidRPr="00BA5F96">
              <w:rPr>
                <w:sz w:val="28"/>
                <w:szCs w:val="28"/>
              </w:rPr>
              <w:t xml:space="preserve"> через </w:t>
            </w:r>
            <w:proofErr w:type="spellStart"/>
            <w:r w:rsidRPr="00BA5F96">
              <w:rPr>
                <w:sz w:val="28"/>
                <w:szCs w:val="28"/>
              </w:rPr>
              <w:t>Єдиний</w:t>
            </w:r>
            <w:proofErr w:type="spellEnd"/>
            <w:r w:rsidRPr="00BA5F96">
              <w:rPr>
                <w:sz w:val="28"/>
                <w:szCs w:val="28"/>
              </w:rPr>
              <w:t xml:space="preserve"> портал </w:t>
            </w:r>
            <w:proofErr w:type="spellStart"/>
            <w:r w:rsidRPr="00BA5F96">
              <w:rPr>
                <w:sz w:val="28"/>
                <w:szCs w:val="28"/>
              </w:rPr>
              <w:t>вакансій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державної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служби</w:t>
            </w:r>
            <w:proofErr w:type="spellEnd"/>
            <w:r w:rsidRPr="00BA5F96"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 w:rsidR="00EB2BE1">
              <w:rPr>
                <w:sz w:val="28"/>
                <w:szCs w:val="28"/>
                <w:lang w:eastAsia="en-US"/>
              </w:rPr>
              <w:t xml:space="preserve">до </w:t>
            </w:r>
            <w:r w:rsidR="00D33DA4">
              <w:rPr>
                <w:sz w:val="28"/>
                <w:szCs w:val="28"/>
                <w:lang w:val="uk-UA" w:eastAsia="en-US"/>
              </w:rPr>
              <w:t>1</w:t>
            </w:r>
            <w:r w:rsidR="006D5335">
              <w:rPr>
                <w:sz w:val="28"/>
                <w:szCs w:val="28"/>
                <w:lang w:val="uk-UA" w:eastAsia="en-US"/>
              </w:rPr>
              <w:t>6</w:t>
            </w:r>
            <w:r w:rsidR="00D33DA4">
              <w:rPr>
                <w:sz w:val="28"/>
                <w:szCs w:val="28"/>
                <w:lang w:eastAsia="en-US"/>
              </w:rPr>
              <w:t xml:space="preserve"> год.</w:t>
            </w:r>
            <w:r w:rsidR="006D5335">
              <w:rPr>
                <w:sz w:val="28"/>
                <w:szCs w:val="28"/>
                <w:lang w:val="uk-UA" w:eastAsia="en-US"/>
              </w:rPr>
              <w:t>15</w:t>
            </w:r>
            <w:bookmarkStart w:id="7" w:name="_GoBack"/>
            <w:bookmarkEnd w:id="7"/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EB2BE1">
              <w:rPr>
                <w:sz w:val="28"/>
                <w:szCs w:val="28"/>
                <w:lang w:eastAsia="en-US"/>
              </w:rPr>
              <w:t xml:space="preserve">. </w:t>
            </w:r>
            <w:r w:rsidR="00D33DA4">
              <w:rPr>
                <w:sz w:val="28"/>
                <w:szCs w:val="28"/>
                <w:lang w:val="uk-UA" w:eastAsia="en-US"/>
              </w:rPr>
              <w:t>21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r w:rsidR="008741F0">
              <w:rPr>
                <w:sz w:val="28"/>
                <w:szCs w:val="28"/>
                <w:lang w:val="uk-UA" w:eastAsia="en-US"/>
              </w:rPr>
              <w:t>лютого</w:t>
            </w:r>
            <w:r w:rsidR="00EB2BE1">
              <w:rPr>
                <w:sz w:val="28"/>
                <w:szCs w:val="28"/>
                <w:lang w:eastAsia="en-US"/>
              </w:rPr>
              <w:t xml:space="preserve"> 20</w:t>
            </w:r>
            <w:r w:rsidR="00D33DA4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D323B0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D323B0" w:rsidRPr="00D45BB3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D323B0" w:rsidP="008741F0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Шевченка, 53; 1</w:t>
            </w:r>
            <w:r w:rsidR="008741F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год. 00 хв., </w:t>
            </w:r>
            <w:r w:rsidR="00D33DA4">
              <w:rPr>
                <w:sz w:val="28"/>
                <w:szCs w:val="28"/>
                <w:lang w:val="uk-UA"/>
              </w:rPr>
              <w:t>2</w:t>
            </w:r>
            <w:r w:rsidR="008741F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41F0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D33DA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RPr="00335EB7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Pr="00BA5F96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BA5F9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BA5F96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Pr="00BA5F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E50EC5" w:rsidP="00F0248C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D626A">
              <w:rPr>
                <w:sz w:val="28"/>
                <w:szCs w:val="28"/>
              </w:rPr>
              <w:t xml:space="preserve">ища </w:t>
            </w:r>
            <w:proofErr w:type="spellStart"/>
            <w:r w:rsidRPr="001D626A">
              <w:rPr>
                <w:sz w:val="28"/>
                <w:szCs w:val="28"/>
              </w:rPr>
              <w:t>освіта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освітнім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ступенем</w:t>
            </w:r>
            <w:proofErr w:type="spellEnd"/>
            <w:r w:rsidRPr="001D626A">
              <w:rPr>
                <w:sz w:val="28"/>
                <w:szCs w:val="28"/>
              </w:rPr>
              <w:t xml:space="preserve"> не </w:t>
            </w:r>
            <w:proofErr w:type="spellStart"/>
            <w:r w:rsidRPr="001D626A">
              <w:rPr>
                <w:sz w:val="28"/>
                <w:szCs w:val="28"/>
              </w:rPr>
              <w:t>нижче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магістра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спеціальністю</w:t>
            </w:r>
            <w:proofErr w:type="spellEnd"/>
            <w:r w:rsidRPr="001D626A">
              <w:rPr>
                <w:sz w:val="28"/>
                <w:szCs w:val="28"/>
              </w:rPr>
              <w:t xml:space="preserve">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гігієна</w:t>
            </w:r>
            <w:proofErr w:type="spellEnd"/>
            <w:r w:rsidRPr="001D626A">
              <w:rPr>
                <w:sz w:val="28"/>
                <w:szCs w:val="28"/>
              </w:rPr>
              <w:t xml:space="preserve">, </w:t>
            </w:r>
            <w:proofErr w:type="spellStart"/>
            <w:r w:rsidRPr="001D626A">
              <w:rPr>
                <w:sz w:val="28"/>
                <w:szCs w:val="28"/>
              </w:rPr>
              <w:t>санітарія</w:t>
            </w:r>
            <w:proofErr w:type="spellEnd"/>
            <w:r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Pr="001D626A">
              <w:rPr>
                <w:sz w:val="28"/>
                <w:szCs w:val="28"/>
              </w:rPr>
              <w:t>експертиза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медицина»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1)</w:t>
            </w:r>
            <w:r w:rsidRPr="00003C16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003C16">
              <w:rPr>
                <w:sz w:val="28"/>
                <w:szCs w:val="28"/>
                <w:lang w:eastAsia="en-US"/>
              </w:rPr>
              <w:t xml:space="preserve"> </w:t>
            </w:r>
            <w:r w:rsidRPr="00003C16">
              <w:rPr>
                <w:color w:val="000000"/>
                <w:sz w:val="28"/>
                <w:szCs w:val="28"/>
              </w:rPr>
              <w:t xml:space="preserve">«Про </w:t>
            </w:r>
            <w:r w:rsidRPr="00003C16">
              <w:rPr>
                <w:color w:val="000000"/>
                <w:sz w:val="28"/>
                <w:szCs w:val="28"/>
                <w:lang w:val="uk-UA"/>
              </w:rPr>
              <w:t>ветеринарну медицини</w:t>
            </w:r>
            <w:r w:rsidRPr="00003C16">
              <w:rPr>
                <w:color w:val="000000"/>
                <w:sz w:val="28"/>
                <w:szCs w:val="28"/>
              </w:rPr>
              <w:t xml:space="preserve">»; 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003C16">
              <w:rPr>
                <w:sz w:val="28"/>
                <w:szCs w:val="28"/>
                <w:lang w:val="uk-UA" w:eastAsia="en-US"/>
              </w:rPr>
              <w:t>Закон України «Про ідентифікацію та реєстрацію тварин»;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 w:rsidRPr="00003C16">
              <w:rPr>
                <w:sz w:val="28"/>
                <w:szCs w:val="28"/>
                <w:lang w:val="uk-UA" w:eastAsia="en-US"/>
              </w:rPr>
              <w:t xml:space="preserve">Закон України «Про </w:t>
            </w:r>
            <w:r w:rsidRPr="00003C16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003C16">
              <w:rPr>
                <w:sz w:val="28"/>
                <w:szCs w:val="28"/>
                <w:lang w:val="uk-UA" w:eastAsia="en-US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основні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принципи</w:t>
            </w:r>
            <w:proofErr w:type="spellEnd"/>
            <w:r w:rsidRPr="00003C16">
              <w:rPr>
                <w:sz w:val="28"/>
                <w:szCs w:val="28"/>
              </w:rPr>
              <w:t xml:space="preserve"> і </w:t>
            </w:r>
            <w:proofErr w:type="spellStart"/>
            <w:r w:rsidRPr="00003C16">
              <w:rPr>
                <w:sz w:val="28"/>
                <w:szCs w:val="28"/>
              </w:rPr>
              <w:t>вимоги</w:t>
            </w:r>
            <w:proofErr w:type="spellEnd"/>
            <w:r w:rsidRPr="00003C16">
              <w:rPr>
                <w:sz w:val="28"/>
                <w:szCs w:val="28"/>
              </w:rPr>
              <w:t xml:space="preserve"> до </w:t>
            </w:r>
            <w:proofErr w:type="spellStart"/>
            <w:r w:rsidRPr="00003C16">
              <w:rPr>
                <w:sz w:val="28"/>
                <w:szCs w:val="28"/>
              </w:rPr>
              <w:lastRenderedPageBreak/>
              <w:t>органічного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виробництва</w:t>
            </w:r>
            <w:proofErr w:type="spellEnd"/>
            <w:r w:rsidRPr="00003C16">
              <w:rPr>
                <w:sz w:val="28"/>
                <w:szCs w:val="28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інформацію</w:t>
            </w:r>
            <w:proofErr w:type="spellEnd"/>
            <w:r w:rsidRPr="00003C16">
              <w:rPr>
                <w:sz w:val="28"/>
                <w:szCs w:val="28"/>
              </w:rPr>
              <w:t xml:space="preserve"> для </w:t>
            </w:r>
            <w:proofErr w:type="spellStart"/>
            <w:r w:rsidRPr="00003C16">
              <w:rPr>
                <w:sz w:val="28"/>
                <w:szCs w:val="28"/>
              </w:rPr>
              <w:t>споживачів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щодо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харчових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продуктів</w:t>
            </w:r>
            <w:proofErr w:type="spellEnd"/>
            <w:r w:rsidRPr="00003C16">
              <w:rPr>
                <w:sz w:val="28"/>
                <w:szCs w:val="28"/>
              </w:rPr>
              <w:t>»</w:t>
            </w:r>
            <w:r w:rsidRPr="00003C16">
              <w:rPr>
                <w:sz w:val="28"/>
                <w:szCs w:val="28"/>
                <w:lang w:val="uk-UA"/>
              </w:rPr>
              <w:t>.</w:t>
            </w:r>
          </w:p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jc w:val="both"/>
        <w:rPr>
          <w:sz w:val="28"/>
          <w:szCs w:val="28"/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41" w:rsidRDefault="000E1141">
      <w:r>
        <w:separator/>
      </w:r>
    </w:p>
  </w:endnote>
  <w:endnote w:type="continuationSeparator" w:id="0">
    <w:p w:rsidR="000E1141" w:rsidRDefault="000E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E11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E11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E11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41" w:rsidRDefault="000E1141">
      <w:r>
        <w:separator/>
      </w:r>
    </w:p>
  </w:footnote>
  <w:footnote w:type="continuationSeparator" w:id="0">
    <w:p w:rsidR="000E1141" w:rsidRDefault="000E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E11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35">
          <w:rPr>
            <w:noProof/>
          </w:rPr>
          <w:t>5</w:t>
        </w:r>
        <w:r>
          <w:fldChar w:fldCharType="end"/>
        </w:r>
      </w:p>
    </w:sdtContent>
  </w:sdt>
  <w:p w:rsidR="006D20E0" w:rsidRDefault="000E11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E1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A60"/>
    <w:multiLevelType w:val="multilevel"/>
    <w:tmpl w:val="D3BC79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37"/>
      <w:numFmt w:val="decimal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03C16"/>
    <w:rsid w:val="00046F24"/>
    <w:rsid w:val="00072FE5"/>
    <w:rsid w:val="00075106"/>
    <w:rsid w:val="00083514"/>
    <w:rsid w:val="000C720A"/>
    <w:rsid w:val="000E1141"/>
    <w:rsid w:val="0012105E"/>
    <w:rsid w:val="001821CF"/>
    <w:rsid w:val="001B58C7"/>
    <w:rsid w:val="001C1275"/>
    <w:rsid w:val="001D42E9"/>
    <w:rsid w:val="00255259"/>
    <w:rsid w:val="002E79E7"/>
    <w:rsid w:val="00335EB7"/>
    <w:rsid w:val="00340BB9"/>
    <w:rsid w:val="003662C3"/>
    <w:rsid w:val="0039070B"/>
    <w:rsid w:val="00442491"/>
    <w:rsid w:val="0047314A"/>
    <w:rsid w:val="004C1502"/>
    <w:rsid w:val="004C1774"/>
    <w:rsid w:val="004C1B9A"/>
    <w:rsid w:val="004D5DED"/>
    <w:rsid w:val="004E366E"/>
    <w:rsid w:val="004F562D"/>
    <w:rsid w:val="005032A6"/>
    <w:rsid w:val="00575900"/>
    <w:rsid w:val="005D2A5C"/>
    <w:rsid w:val="005E712C"/>
    <w:rsid w:val="006C27B4"/>
    <w:rsid w:val="006D5335"/>
    <w:rsid w:val="006F164A"/>
    <w:rsid w:val="007205AA"/>
    <w:rsid w:val="00735D8B"/>
    <w:rsid w:val="00744A0A"/>
    <w:rsid w:val="007756F1"/>
    <w:rsid w:val="007A693E"/>
    <w:rsid w:val="00857B64"/>
    <w:rsid w:val="008741F0"/>
    <w:rsid w:val="009101D4"/>
    <w:rsid w:val="009163EA"/>
    <w:rsid w:val="00935F05"/>
    <w:rsid w:val="009C57D4"/>
    <w:rsid w:val="009F0557"/>
    <w:rsid w:val="009F121D"/>
    <w:rsid w:val="00A11A44"/>
    <w:rsid w:val="00A417B5"/>
    <w:rsid w:val="00A901E2"/>
    <w:rsid w:val="00AB0D27"/>
    <w:rsid w:val="00B4448F"/>
    <w:rsid w:val="00B85086"/>
    <w:rsid w:val="00BA5F96"/>
    <w:rsid w:val="00CF7594"/>
    <w:rsid w:val="00D323B0"/>
    <w:rsid w:val="00D33DA4"/>
    <w:rsid w:val="00D42236"/>
    <w:rsid w:val="00E055F8"/>
    <w:rsid w:val="00E50EC5"/>
    <w:rsid w:val="00EB2BE1"/>
    <w:rsid w:val="00F0248C"/>
    <w:rsid w:val="00F1435E"/>
    <w:rsid w:val="00F948CE"/>
    <w:rsid w:val="00F97C89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7D8A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744A0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Body Text"/>
    <w:basedOn w:val="a"/>
    <w:link w:val="ac"/>
    <w:semiHidden/>
    <w:rsid w:val="00B85086"/>
    <w:pPr>
      <w:widowControl/>
      <w:autoSpaceDE/>
      <w:autoSpaceDN/>
      <w:adjustRightInd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B850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Normal (Web)"/>
    <w:basedOn w:val="a"/>
    <w:semiHidden/>
    <w:rsid w:val="00B85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B85086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85086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rvts0">
    <w:name w:val="rvts0"/>
    <w:basedOn w:val="a0"/>
    <w:rsid w:val="00B85086"/>
  </w:style>
  <w:style w:type="paragraph" w:styleId="ae">
    <w:name w:val="Body Text Indent"/>
    <w:basedOn w:val="a"/>
    <w:link w:val="af"/>
    <w:semiHidden/>
    <w:rsid w:val="00B8508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B85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B85086"/>
    <w:pPr>
      <w:widowControl/>
      <w:shd w:val="clear" w:color="auto" w:fill="FFFFFF"/>
      <w:autoSpaceDE/>
      <w:autoSpaceDN/>
      <w:adjustRightInd/>
      <w:ind w:firstLine="709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85086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21">
    <w:name w:val="Body Text 2"/>
    <w:basedOn w:val="a"/>
    <w:link w:val="22"/>
    <w:semiHidden/>
    <w:rsid w:val="00B85086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2">
    <w:name w:val="Основной текст 2 Знак"/>
    <w:basedOn w:val="a0"/>
    <w:link w:val="21"/>
    <w:semiHidden/>
    <w:rsid w:val="00B85086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2020-02-13T14:27:00Z</dcterms:created>
  <dcterms:modified xsi:type="dcterms:W3CDTF">2020-02-13T16:16:00Z</dcterms:modified>
</cp:coreProperties>
</file>