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12FE3">
        <w:rPr>
          <w:sz w:val="28"/>
          <w:szCs w:val="28"/>
          <w:lang w:val="uk-UA"/>
        </w:rPr>
        <w:t>1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2F54">
        <w:rPr>
          <w:sz w:val="28"/>
          <w:szCs w:val="28"/>
          <w:lang w:val="uk-UA"/>
        </w:rPr>
        <w:t>02 травня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B32F5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B32F54">
        <w:rPr>
          <w:sz w:val="28"/>
          <w:szCs w:val="28"/>
          <w:lang w:val="uk-UA"/>
        </w:rPr>
        <w:t xml:space="preserve">контролю в сфері насінництва та </w:t>
      </w:r>
      <w:proofErr w:type="spellStart"/>
      <w:r w:rsidR="00B32F54">
        <w:rPr>
          <w:sz w:val="28"/>
          <w:szCs w:val="28"/>
          <w:lang w:val="uk-UA"/>
        </w:rPr>
        <w:t>розсадництва</w:t>
      </w:r>
      <w:proofErr w:type="spellEnd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Забезпечує здійснення державного нагляду (контролю) за: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noProof/>
                <w:sz w:val="28"/>
                <w:szCs w:val="28"/>
                <w:lang w:val="uk-UA"/>
              </w:rPr>
              <w:t>Діяльністю суб'єктів усіх форм власності і господарювання у сфері насінництва та розсадництва, включаючи: лісове, квітково-декоративне насінництво та розсадництво, насінництво картоплі, овочевих, баштанних, плодових і горіхоплідних культур та розсадництво плодових, ягідних, горіхоплідних культур, винограду та хмелю, садівництва та лісових насаджень, які займаються виробництвом, заготівлею, обробкою, розмноженням, зберіганням, реалізацією і використанням насіння та садивного матеріалу рослин, а також за умовами вирощування садивного матеріалу, заготівлею, обробкою, розмноженням, зберіганням, реалізацією та використанням насіння і садивного матеріалу.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</w:t>
            </w:r>
            <w:r>
              <w:rPr>
                <w:noProof/>
                <w:sz w:val="28"/>
                <w:szCs w:val="28"/>
                <w:lang w:val="uk-UA"/>
              </w:rPr>
              <w:t>Дотриманням технології виробництва на етапах вирощування, збирання і післязбиральної обробки насіння і садивного матеріалу.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 </w:t>
            </w:r>
            <w:r>
              <w:rPr>
                <w:noProof/>
                <w:sz w:val="28"/>
                <w:szCs w:val="28"/>
                <w:lang w:val="uk-UA"/>
              </w:rPr>
              <w:t>Дотриманням сортових та посівних якостей насіння, що реалізується суб'єктами оптової та роздрібної торгівлі.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1.4. Дотриманням суб'єктами насінництва та розсадництва державних стандартів, інших нормативних документів, веденням документації сортових посівів і насаджень, ділянок гібридизації насіння і садивного матеріалу, правильного відбору проб та вибірок для визначення якостей насіння і садивного матеріалу, за введенням насіння і садивного матеріалу обіг.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lastRenderedPageBreak/>
              <w:t>1.5. Сертифікацією насіння і садивного матеріалу.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 </w:t>
            </w:r>
            <w:r>
              <w:rPr>
                <w:noProof/>
                <w:sz w:val="28"/>
                <w:szCs w:val="28"/>
                <w:lang w:val="uk-UA"/>
              </w:rPr>
              <w:t>Дотриманням у сфері насінництва та розсадництва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агропромислового комплексу незалежно від їх підпорядкування і форм власності.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 дорученням керівництва  представляє інтереси Відділу з питань, що належать до компетенції Відділу, в державних та інших органах, громадських організаціях.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роботу з документами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ідділу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чинним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напрямами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</w:t>
            </w:r>
            <w:proofErr w:type="gram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ідділу</w:t>
            </w:r>
            <w:proofErr w:type="spellEnd"/>
            <w:r>
              <w:rPr>
                <w:sz w:val="28"/>
                <w:szCs w:val="28"/>
              </w:rPr>
              <w:t xml:space="preserve"> у межах </w:t>
            </w:r>
            <w:proofErr w:type="spellStart"/>
            <w:r>
              <w:rPr>
                <w:sz w:val="28"/>
                <w:szCs w:val="28"/>
              </w:rPr>
              <w:t>наданих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належать до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E41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Дотримується правил внутрішнього </w:t>
            </w:r>
            <w:r>
              <w:rPr>
                <w:sz w:val="28"/>
                <w:szCs w:val="28"/>
                <w:lang w:val="uk-UA"/>
              </w:rPr>
              <w:t>службового</w:t>
            </w:r>
            <w:r>
              <w:rPr>
                <w:sz w:val="28"/>
                <w:szCs w:val="28"/>
                <w:lang w:val="uk-UA"/>
              </w:rPr>
              <w:t xml:space="preserve"> розпорядку.</w:t>
            </w:r>
          </w:p>
          <w:p w:rsidR="002078A1" w:rsidRPr="001475EC" w:rsidRDefault="00713E4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Здійснює інші повноваження відповідно до законодавства.</w:t>
            </w:r>
            <w:bookmarkStart w:id="0" w:name="_GoBack"/>
            <w:bookmarkEnd w:id="0"/>
          </w:p>
        </w:tc>
      </w:tr>
    </w:tbl>
    <w:p w:rsidR="002078A1" w:rsidRDefault="002078A1" w:rsidP="002078A1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516843" w:rsidRDefault="00516843" w:rsidP="00516843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516843" w:rsidRDefault="00516843" w:rsidP="00516843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78A1" w:rsidRDefault="00516843" w:rsidP="005168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516843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AC0D2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0D27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AC0D27" w:rsidP="00AC0D2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травня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о 1</w:t>
            </w:r>
            <w:r w:rsidR="008B4FBF">
              <w:rPr>
                <w:sz w:val="28"/>
                <w:szCs w:val="28"/>
                <w:lang w:val="uk-UA"/>
              </w:rPr>
              <w:t>0</w:t>
            </w:r>
            <w:r w:rsidR="002078A1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AC0D27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AC0D27">
              <w:rPr>
                <w:sz w:val="28"/>
                <w:szCs w:val="28"/>
                <w:lang w:val="uk-UA"/>
              </w:rPr>
              <w:t>«Агрономія»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1.Професійні знання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поставлених завдань 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Вміння працювати  з інформацією; вміння надавати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пропозиції, їх аргументувати та презентувати 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3.Командна робота та взаємодія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078A1" w:rsidRPr="00713E4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6.Особистісні компетенції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наполегливість; креативність та ініціативність; відповідальність.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AC0D27" w:rsidRPr="004E44F7" w:rsidRDefault="00AC0D27" w:rsidP="00AC0D2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  <w:r w:rsidRPr="004E44F7">
              <w:rPr>
                <w:sz w:val="28"/>
                <w:szCs w:val="28"/>
                <w:lang w:val="uk-UA"/>
              </w:rPr>
              <w:t xml:space="preserve"> 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насіння</w:t>
            </w:r>
            <w:proofErr w:type="spellEnd"/>
            <w:r w:rsidRPr="00931368">
              <w:rPr>
                <w:sz w:val="28"/>
                <w:szCs w:val="28"/>
              </w:rPr>
              <w:t xml:space="preserve"> і </w:t>
            </w:r>
            <w:proofErr w:type="spellStart"/>
            <w:r w:rsidRPr="00931368">
              <w:rPr>
                <w:sz w:val="28"/>
                <w:szCs w:val="28"/>
              </w:rPr>
              <w:t>садивний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матеріал</w:t>
            </w:r>
            <w:proofErr w:type="spellEnd"/>
            <w:r w:rsidRPr="00931368">
              <w:rPr>
                <w:sz w:val="28"/>
                <w:szCs w:val="28"/>
              </w:rPr>
              <w:t xml:space="preserve">», </w:t>
            </w:r>
            <w:r w:rsidRPr="004E44F7"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охорону</w:t>
            </w:r>
            <w:proofErr w:type="spellEnd"/>
            <w:r w:rsidRPr="00931368">
              <w:rPr>
                <w:sz w:val="28"/>
                <w:szCs w:val="28"/>
              </w:rPr>
              <w:t xml:space="preserve"> прав на </w:t>
            </w:r>
            <w:proofErr w:type="spellStart"/>
            <w:r w:rsidRPr="00931368">
              <w:rPr>
                <w:sz w:val="28"/>
                <w:szCs w:val="28"/>
              </w:rPr>
              <w:t>сорти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рослин</w:t>
            </w:r>
            <w:proofErr w:type="spellEnd"/>
            <w:r w:rsidRPr="00931368">
              <w:rPr>
                <w:sz w:val="28"/>
                <w:szCs w:val="28"/>
              </w:rPr>
              <w:t>»,</w:t>
            </w:r>
            <w:r w:rsidRPr="003A33BC">
              <w:rPr>
                <w:sz w:val="28"/>
                <w:szCs w:val="28"/>
                <w:lang w:val="uk-UA"/>
              </w:rPr>
              <w:t xml:space="preserve"> </w:t>
            </w:r>
            <w:r w:rsidRPr="00F20EE7">
              <w:rPr>
                <w:sz w:val="28"/>
                <w:szCs w:val="28"/>
                <w:lang w:val="uk-UA"/>
              </w:rPr>
              <w:t xml:space="preserve">Закон України «Про внесення змін до деяких законів України щодо приведення законодавства України у сфері насінництва та </w:t>
            </w:r>
            <w:proofErr w:type="spellStart"/>
            <w:r w:rsidRPr="00F20EE7"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 w:rsidRPr="00F20EE7">
              <w:rPr>
                <w:sz w:val="28"/>
                <w:szCs w:val="28"/>
                <w:lang w:val="uk-UA"/>
              </w:rPr>
              <w:t xml:space="preserve"> у відповідність з європейськими та міжнародними нормами і стандартами»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3A33BC">
              <w:rPr>
                <w:sz w:val="28"/>
                <w:szCs w:val="28"/>
                <w:lang w:val="uk-UA"/>
              </w:rPr>
              <w:t xml:space="preserve"> </w:t>
            </w:r>
            <w:r w:rsidRPr="00931368">
              <w:rPr>
                <w:sz w:val="28"/>
                <w:szCs w:val="28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основні</w:t>
            </w:r>
            <w:proofErr w:type="spellEnd"/>
            <w:r w:rsidRPr="00931368">
              <w:rPr>
                <w:sz w:val="28"/>
                <w:szCs w:val="28"/>
              </w:rPr>
              <w:t xml:space="preserve"> засади державного </w:t>
            </w:r>
            <w:proofErr w:type="spellStart"/>
            <w:r w:rsidRPr="00931368">
              <w:rPr>
                <w:sz w:val="28"/>
                <w:szCs w:val="28"/>
              </w:rPr>
              <w:t>нагляду</w:t>
            </w:r>
            <w:proofErr w:type="spellEnd"/>
            <w:r w:rsidRPr="00931368">
              <w:rPr>
                <w:sz w:val="28"/>
                <w:szCs w:val="28"/>
              </w:rPr>
              <w:t xml:space="preserve"> (контролю) у </w:t>
            </w:r>
            <w:proofErr w:type="spellStart"/>
            <w:r w:rsidRPr="00931368">
              <w:rPr>
                <w:sz w:val="28"/>
                <w:szCs w:val="28"/>
              </w:rPr>
              <w:t>сфері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господарської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діяльності</w:t>
            </w:r>
            <w:proofErr w:type="spellEnd"/>
            <w:r w:rsidRPr="00931368">
              <w:rPr>
                <w:sz w:val="28"/>
                <w:szCs w:val="28"/>
              </w:rPr>
              <w:t xml:space="preserve">», </w:t>
            </w:r>
            <w:proofErr w:type="spellStart"/>
            <w:r w:rsidRPr="00931368">
              <w:rPr>
                <w:sz w:val="28"/>
                <w:szCs w:val="28"/>
              </w:rPr>
              <w:t>інші</w:t>
            </w:r>
            <w:proofErr w:type="spellEnd"/>
            <w:r w:rsidRPr="00931368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931368">
              <w:rPr>
                <w:sz w:val="28"/>
                <w:szCs w:val="28"/>
              </w:rPr>
              <w:t>правові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акти</w:t>
            </w:r>
            <w:proofErr w:type="spellEnd"/>
            <w:r w:rsidRPr="00931368">
              <w:rPr>
                <w:sz w:val="28"/>
                <w:szCs w:val="28"/>
              </w:rPr>
              <w:t xml:space="preserve"> у </w:t>
            </w:r>
            <w:proofErr w:type="spellStart"/>
            <w:r w:rsidRPr="00931368">
              <w:rPr>
                <w:sz w:val="28"/>
                <w:szCs w:val="28"/>
              </w:rPr>
              <w:t>сфері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насінництва</w:t>
            </w:r>
            <w:proofErr w:type="spellEnd"/>
            <w:r w:rsidRPr="00931368">
              <w:rPr>
                <w:sz w:val="28"/>
                <w:szCs w:val="28"/>
              </w:rPr>
              <w:t xml:space="preserve"> та </w:t>
            </w:r>
            <w:proofErr w:type="spellStart"/>
            <w:r w:rsidRPr="00931368">
              <w:rPr>
                <w:sz w:val="28"/>
                <w:szCs w:val="28"/>
              </w:rPr>
              <w:t>розсадництва</w:t>
            </w:r>
            <w:proofErr w:type="spellEnd"/>
            <w:r>
              <w:t>.</w:t>
            </w:r>
            <w:r w:rsidRPr="004E44F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Типове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області</w:t>
            </w:r>
          </w:p>
          <w:p w:rsidR="002078A1" w:rsidRDefault="002078A1" w:rsidP="00AC0D2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</w:t>
      </w:r>
      <w:r>
        <w:rPr>
          <w:sz w:val="24"/>
          <w:szCs w:val="24"/>
          <w:lang w:val="uk-UA"/>
        </w:rPr>
        <w:lastRenderedPageBreak/>
        <w:t xml:space="preserve">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1B" w:rsidRDefault="002B001B" w:rsidP="006C763B">
      <w:r>
        <w:separator/>
      </w:r>
    </w:p>
  </w:endnote>
  <w:endnote w:type="continuationSeparator" w:id="0">
    <w:p w:rsidR="002B001B" w:rsidRDefault="002B001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1B" w:rsidRDefault="002B001B" w:rsidP="006C763B">
      <w:r>
        <w:separator/>
      </w:r>
    </w:p>
  </w:footnote>
  <w:footnote w:type="continuationSeparator" w:id="0">
    <w:p w:rsidR="002B001B" w:rsidRDefault="002B001B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41">
          <w:rPr>
            <w:noProof/>
          </w:rPr>
          <w:t>2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B6C13"/>
    <w:rsid w:val="002078A1"/>
    <w:rsid w:val="0022530C"/>
    <w:rsid w:val="002A5122"/>
    <w:rsid w:val="002B001B"/>
    <w:rsid w:val="003B44DB"/>
    <w:rsid w:val="003B61DA"/>
    <w:rsid w:val="00500E46"/>
    <w:rsid w:val="00516843"/>
    <w:rsid w:val="00687D64"/>
    <w:rsid w:val="006C5A83"/>
    <w:rsid w:val="006C763B"/>
    <w:rsid w:val="00713E41"/>
    <w:rsid w:val="00812FE3"/>
    <w:rsid w:val="00851157"/>
    <w:rsid w:val="008B4FBF"/>
    <w:rsid w:val="008C4E29"/>
    <w:rsid w:val="00902543"/>
    <w:rsid w:val="00A40E83"/>
    <w:rsid w:val="00AC0D27"/>
    <w:rsid w:val="00AD4164"/>
    <w:rsid w:val="00B12978"/>
    <w:rsid w:val="00B32F54"/>
    <w:rsid w:val="00BA7434"/>
    <w:rsid w:val="00C42A66"/>
    <w:rsid w:val="00CE14C9"/>
    <w:rsid w:val="00D43D1F"/>
    <w:rsid w:val="00D77D08"/>
    <w:rsid w:val="00E23D38"/>
    <w:rsid w:val="00E35804"/>
    <w:rsid w:val="00EA2BF5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4844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2017-12-01T09:53:00Z</dcterms:created>
  <dcterms:modified xsi:type="dcterms:W3CDTF">2018-05-03T08:06:00Z</dcterms:modified>
</cp:coreProperties>
</file>